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Theme="minorEastAsia" w:hAnsiTheme="minorEastAsia" w:eastAsia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bCs/>
          <w:sz w:val="24"/>
          <w:szCs w:val="24"/>
        </w:rPr>
        <w:t>服务需求</w:t>
      </w:r>
    </w:p>
    <w:p>
      <w:pPr>
        <w:spacing w:line="360" w:lineRule="auto"/>
        <w:ind w:firstLine="437"/>
        <w:jc w:val="center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>（仅供参考，具体内容以招标文件为准）</w:t>
      </w:r>
      <w:bookmarkStart w:id="0" w:name="_Hlk23621890"/>
    </w:p>
    <w:p>
      <w:pPr>
        <w:spacing w:line="360" w:lineRule="auto"/>
        <w:ind w:firstLine="437"/>
        <w:rPr>
          <w:rFonts w:cs="@仿宋_GB2312" w:asciiTheme="minorEastAsia" w:hAnsiTheme="minorEastAsia" w:eastAsiaTheme="minorEastAsia"/>
          <w:b/>
          <w:sz w:val="24"/>
          <w:szCs w:val="24"/>
        </w:rPr>
      </w:pPr>
      <w:r>
        <w:rPr>
          <w:rFonts w:hint="eastAsia" w:cs="@仿宋_GB2312" w:asciiTheme="minorEastAsia" w:hAnsiTheme="minorEastAsia" w:eastAsiaTheme="minorEastAsia"/>
          <w:b/>
          <w:sz w:val="24"/>
          <w:szCs w:val="24"/>
        </w:rPr>
        <w:t>一、采购需求前附表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2032"/>
        <w:gridCol w:w="54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91" w:type="pct"/>
            <w:vAlign w:val="center"/>
          </w:tcPr>
          <w:p>
            <w:pPr>
              <w:spacing w:line="360" w:lineRule="auto"/>
              <w:jc w:val="center"/>
              <w:rPr>
                <w:rFonts w:cs="@仿宋_GB2312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cs="@仿宋_GB2312" w:asciiTheme="minorEastAsia" w:hAnsiTheme="minorEastAsia" w:eastAsia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1192" w:type="pct"/>
            <w:vAlign w:val="center"/>
          </w:tcPr>
          <w:p>
            <w:pPr>
              <w:spacing w:line="360" w:lineRule="auto"/>
              <w:jc w:val="center"/>
              <w:rPr>
                <w:rFonts w:cs="@仿宋_GB2312" w:asciiTheme="minorEastAsia" w:hAnsiTheme="minorEastAsia" w:eastAsia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@仿宋_GB2312" w:asciiTheme="minorEastAsia" w:hAnsiTheme="minorEastAsia" w:eastAsiaTheme="minorEastAsia"/>
                <w:b/>
                <w:kern w:val="0"/>
                <w:sz w:val="24"/>
                <w:szCs w:val="24"/>
              </w:rPr>
              <w:t>条款名称</w:t>
            </w:r>
          </w:p>
        </w:tc>
        <w:tc>
          <w:tcPr>
            <w:tcW w:w="3217" w:type="pct"/>
            <w:vAlign w:val="center"/>
          </w:tcPr>
          <w:p>
            <w:pPr>
              <w:spacing w:line="360" w:lineRule="auto"/>
              <w:jc w:val="center"/>
              <w:rPr>
                <w:rFonts w:cs="@仿宋_GB2312" w:asciiTheme="minorEastAsia" w:hAnsiTheme="minorEastAsia" w:eastAsia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@仿宋_GB2312" w:asciiTheme="minorEastAsia" w:hAnsiTheme="minorEastAsia" w:eastAsiaTheme="minorEastAsia"/>
                <w:b/>
                <w:kern w:val="0"/>
                <w:sz w:val="24"/>
                <w:szCs w:val="24"/>
              </w:rPr>
              <w:t>内容、说明与要求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91" w:type="pct"/>
            <w:vAlign w:val="center"/>
          </w:tcPr>
          <w:p>
            <w:pPr>
              <w:spacing w:line="360" w:lineRule="auto"/>
              <w:jc w:val="center"/>
              <w:rPr>
                <w:rFonts w:cs="@仿宋_GB2312" w:asciiTheme="minorEastAsia" w:hAnsiTheme="minorEastAsia" w:eastAsiaTheme="minorEastAsia"/>
                <w:bCs/>
                <w:sz w:val="24"/>
                <w:szCs w:val="24"/>
              </w:rPr>
            </w:pPr>
            <w:r>
              <w:rPr>
                <w:rFonts w:hint="eastAsia" w:cs="@仿宋_GB2312" w:asciiTheme="minorEastAsia" w:hAnsiTheme="minorEastAsia" w:eastAsiaTheme="minorEastAsia"/>
                <w:bCs/>
                <w:sz w:val="24"/>
                <w:szCs w:val="24"/>
              </w:rPr>
              <w:t>1</w:t>
            </w:r>
          </w:p>
        </w:tc>
        <w:tc>
          <w:tcPr>
            <w:tcW w:w="1192" w:type="pct"/>
            <w:vAlign w:val="center"/>
          </w:tcPr>
          <w:p>
            <w:pPr>
              <w:spacing w:line="360" w:lineRule="auto"/>
              <w:jc w:val="center"/>
              <w:rPr>
                <w:rFonts w:cs="@仿宋_GB2312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@仿宋_GB2312" w:asciiTheme="minorEastAsia" w:hAnsiTheme="minorEastAsia" w:eastAsiaTheme="minorEastAsia"/>
                <w:bCs/>
                <w:kern w:val="0"/>
                <w:sz w:val="24"/>
                <w:szCs w:val="24"/>
              </w:rPr>
              <w:t>付款方式</w:t>
            </w:r>
          </w:p>
        </w:tc>
        <w:tc>
          <w:tcPr>
            <w:tcW w:w="3217" w:type="pct"/>
            <w:vAlign w:val="center"/>
          </w:tcPr>
          <w:p>
            <w:pPr>
              <w:spacing w:line="360" w:lineRule="auto"/>
              <w:rPr>
                <w:rFonts w:hint="default" w:cs="@仿宋_GB2312" w:asciiTheme="minorEastAsia" w:hAnsiTheme="minorEastAsia" w:eastAsiaTheme="minorEastAsia"/>
                <w:bCs/>
                <w:kern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cs="@仿宋_GB2312" w:asciiTheme="minorEastAsia" w:hAnsiTheme="minorEastAsia" w:eastAsiaTheme="minorEastAsia"/>
                <w:bCs/>
                <w:color w:val="auto"/>
                <w:kern w:val="0"/>
                <w:sz w:val="24"/>
                <w:szCs w:val="24"/>
                <w:lang w:eastAsia="zh-CN"/>
              </w:rPr>
              <w:t>合同签订后一个月内支付合同金额的</w:t>
            </w:r>
            <w:r>
              <w:rPr>
                <w:rFonts w:hint="eastAsia" w:cs="@仿宋_GB2312" w:asciiTheme="minorEastAsia" w:hAnsiTheme="minorEastAsia" w:eastAsiaTheme="minorEastAsia"/>
                <w:bCs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cs="@仿宋_GB2312" w:asciiTheme="minorEastAsia" w:hAnsiTheme="minorEastAsia" w:eastAsiaTheme="minorEastAsia"/>
                <w:bCs/>
                <w:color w:val="auto"/>
                <w:kern w:val="0"/>
                <w:sz w:val="24"/>
                <w:szCs w:val="24"/>
              </w:rPr>
              <w:t>0%，</w:t>
            </w:r>
            <w:r>
              <w:rPr>
                <w:rFonts w:hint="eastAsia" w:cs="@仿宋_GB2312" w:asciiTheme="minorEastAsia" w:hAnsiTheme="minorEastAsia" w:eastAsiaTheme="minorEastAsia"/>
                <w:bCs/>
                <w:color w:val="auto"/>
                <w:kern w:val="0"/>
                <w:sz w:val="24"/>
                <w:szCs w:val="24"/>
                <w:lang w:val="zh-CN"/>
              </w:rPr>
              <w:t>完成所有企业检查并出具检查报告后付款剩余的</w:t>
            </w:r>
            <w:r>
              <w:rPr>
                <w:rFonts w:hint="eastAsia" w:cs="@仿宋_GB2312" w:asciiTheme="minorEastAsia" w:hAnsiTheme="minorEastAsia" w:eastAsiaTheme="minorEastAsia"/>
                <w:bCs/>
                <w:color w:val="auto"/>
                <w:kern w:val="0"/>
                <w:sz w:val="24"/>
                <w:szCs w:val="24"/>
                <w:lang w:val="en-US" w:eastAsia="zh-CN"/>
              </w:rPr>
              <w:t>50%。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91" w:type="pct"/>
            <w:vAlign w:val="center"/>
          </w:tcPr>
          <w:p>
            <w:pPr>
              <w:spacing w:line="360" w:lineRule="auto"/>
              <w:jc w:val="center"/>
              <w:rPr>
                <w:rFonts w:cs="@仿宋_GB2312" w:asciiTheme="minorEastAsia" w:hAnsiTheme="minorEastAsia" w:eastAsiaTheme="minorEastAsia"/>
                <w:bCs/>
                <w:sz w:val="24"/>
                <w:szCs w:val="24"/>
              </w:rPr>
            </w:pPr>
            <w:r>
              <w:rPr>
                <w:rFonts w:hint="eastAsia" w:cs="@仿宋_GB2312" w:asciiTheme="minorEastAsia" w:hAnsiTheme="minorEastAsia" w:eastAsiaTheme="minorEastAsia"/>
                <w:bCs/>
                <w:sz w:val="24"/>
                <w:szCs w:val="24"/>
              </w:rPr>
              <w:t>2</w:t>
            </w:r>
          </w:p>
        </w:tc>
        <w:tc>
          <w:tcPr>
            <w:tcW w:w="1192" w:type="pct"/>
            <w:vAlign w:val="center"/>
          </w:tcPr>
          <w:p>
            <w:pPr>
              <w:spacing w:line="360" w:lineRule="auto"/>
              <w:jc w:val="center"/>
              <w:rPr>
                <w:rFonts w:cs="@仿宋_GB2312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@仿宋_GB2312" w:asciiTheme="minorEastAsia" w:hAnsiTheme="minorEastAsia" w:eastAsiaTheme="minorEastAsia"/>
                <w:bCs/>
                <w:kern w:val="0"/>
                <w:sz w:val="24"/>
                <w:szCs w:val="24"/>
              </w:rPr>
              <w:t>服务地点</w:t>
            </w:r>
          </w:p>
        </w:tc>
        <w:tc>
          <w:tcPr>
            <w:tcW w:w="3217" w:type="pct"/>
          </w:tcPr>
          <w:p>
            <w:pPr>
              <w:spacing w:line="500" w:lineRule="exact"/>
              <w:rPr>
                <w:rFonts w:cs="@仿宋_GB2312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@仿宋_GB2312" w:asciiTheme="minorEastAsia" w:hAnsiTheme="minorEastAsia" w:eastAsiaTheme="minorEastAsia"/>
                <w:color w:val="auto"/>
                <w:sz w:val="24"/>
                <w:szCs w:val="24"/>
              </w:rPr>
              <w:t>合肥市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91" w:type="pct"/>
            <w:vAlign w:val="center"/>
          </w:tcPr>
          <w:p>
            <w:pPr>
              <w:spacing w:line="360" w:lineRule="auto"/>
              <w:jc w:val="center"/>
              <w:rPr>
                <w:rFonts w:cs="@仿宋_GB2312" w:asciiTheme="minorEastAsia" w:hAnsiTheme="minorEastAsia" w:eastAsiaTheme="minorEastAsia"/>
                <w:bCs/>
                <w:sz w:val="24"/>
                <w:szCs w:val="24"/>
              </w:rPr>
            </w:pPr>
            <w:r>
              <w:rPr>
                <w:rFonts w:hint="eastAsia" w:cs="@仿宋_GB2312" w:asciiTheme="minorEastAsia" w:hAnsiTheme="minorEastAsia" w:eastAsiaTheme="minorEastAsia"/>
                <w:bCs/>
                <w:sz w:val="24"/>
                <w:szCs w:val="24"/>
              </w:rPr>
              <w:t>3</w:t>
            </w:r>
          </w:p>
        </w:tc>
        <w:tc>
          <w:tcPr>
            <w:tcW w:w="1192" w:type="pct"/>
            <w:vAlign w:val="center"/>
          </w:tcPr>
          <w:p>
            <w:pPr>
              <w:spacing w:line="360" w:lineRule="auto"/>
              <w:jc w:val="center"/>
              <w:rPr>
                <w:rFonts w:cs="@仿宋_GB2312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@仿宋_GB2312" w:asciiTheme="minorEastAsia" w:hAnsiTheme="minorEastAsia" w:eastAsiaTheme="minorEastAsia"/>
                <w:bCs/>
                <w:kern w:val="0"/>
                <w:sz w:val="24"/>
                <w:szCs w:val="24"/>
              </w:rPr>
              <w:t>服务期限</w:t>
            </w:r>
          </w:p>
        </w:tc>
        <w:tc>
          <w:tcPr>
            <w:tcW w:w="3217" w:type="pct"/>
            <w:vAlign w:val="center"/>
          </w:tcPr>
          <w:p>
            <w:pPr>
              <w:spacing w:line="500" w:lineRule="exact"/>
              <w:rPr>
                <w:rFonts w:hint="default" w:cs="@仿宋_GB2312" w:asciiTheme="minorEastAsia" w:hAnsiTheme="minorEastAsia" w:eastAsiaTheme="minorEastAsia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cs="@仿宋_GB2312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  <w:t>合同签订后3个月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91" w:type="pct"/>
            <w:vAlign w:val="center"/>
          </w:tcPr>
          <w:p>
            <w:pPr>
              <w:spacing w:line="360" w:lineRule="auto"/>
              <w:jc w:val="center"/>
              <w:rPr>
                <w:rFonts w:cs="@仿宋_GB2312" w:asciiTheme="minorEastAsia" w:hAnsiTheme="minorEastAsia" w:eastAsiaTheme="minorEastAsia"/>
                <w:bCs/>
                <w:sz w:val="24"/>
                <w:szCs w:val="24"/>
              </w:rPr>
            </w:pPr>
            <w:r>
              <w:rPr>
                <w:rFonts w:cs="@仿宋_GB2312" w:asciiTheme="minorEastAsia" w:hAnsiTheme="minorEastAsia" w:eastAsiaTheme="minorEastAsia"/>
                <w:bCs/>
                <w:sz w:val="24"/>
                <w:szCs w:val="24"/>
              </w:rPr>
              <w:t>4</w:t>
            </w:r>
          </w:p>
        </w:tc>
        <w:tc>
          <w:tcPr>
            <w:tcW w:w="1192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@仿宋_GB2312"/>
                <w:bCs/>
                <w:kern w:val="0"/>
                <w:sz w:val="24"/>
                <w:szCs w:val="28"/>
              </w:rPr>
            </w:pPr>
            <w:r>
              <w:rPr>
                <w:rFonts w:hint="eastAsia" w:cs="@仿宋_GB2312" w:asciiTheme="minorEastAsia" w:hAnsiTheme="minorEastAsia" w:eastAsiaTheme="minorEastAsia"/>
                <w:bCs/>
                <w:color w:val="FF0000"/>
                <w:kern w:val="0"/>
                <w:sz w:val="24"/>
                <w:szCs w:val="24"/>
                <w:lang w:eastAsia="zh-CN"/>
              </w:rPr>
              <w:t>遵守检查纪律</w:t>
            </w:r>
            <w:r>
              <w:rPr>
                <w:rFonts w:hint="eastAsia" w:cs="@仿宋_GB2312" w:asciiTheme="minorEastAsia" w:hAnsiTheme="minorEastAsia" w:eastAsiaTheme="minorEastAsia"/>
                <w:bCs/>
                <w:color w:val="FF0000"/>
                <w:kern w:val="0"/>
                <w:sz w:val="24"/>
                <w:szCs w:val="24"/>
              </w:rPr>
              <w:t>承诺</w:t>
            </w:r>
          </w:p>
        </w:tc>
        <w:tc>
          <w:tcPr>
            <w:tcW w:w="3217" w:type="pct"/>
            <w:vAlign w:val="center"/>
          </w:tcPr>
          <w:p>
            <w:pPr>
              <w:spacing w:line="360" w:lineRule="auto"/>
              <w:rPr>
                <w:rFonts w:hint="eastAsia" w:cs="@仿宋_GB2312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cs="@仿宋_GB2312" w:asciiTheme="minorEastAsia" w:hAnsiTheme="minorEastAsia" w:eastAsiaTheme="minorEastAsia"/>
                <w:b/>
                <w:color w:val="auto"/>
                <w:sz w:val="24"/>
                <w:szCs w:val="24"/>
                <w:lang w:eastAsia="zh-CN"/>
              </w:rPr>
              <w:t>严格按照相关标准进行检查，检查期间严格遵守廉政纪律。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91" w:type="pct"/>
            <w:vAlign w:val="center"/>
          </w:tcPr>
          <w:p>
            <w:pPr>
              <w:spacing w:line="360" w:lineRule="auto"/>
              <w:jc w:val="center"/>
              <w:rPr>
                <w:rFonts w:cs="@仿宋_GB2312" w:asciiTheme="minorEastAsia" w:hAnsiTheme="minorEastAsia" w:eastAsiaTheme="minorEastAsia"/>
                <w:bCs/>
                <w:sz w:val="24"/>
                <w:szCs w:val="24"/>
              </w:rPr>
            </w:pPr>
            <w:r>
              <w:rPr>
                <w:rFonts w:hint="eastAsia" w:cs="@仿宋_GB2312" w:asciiTheme="minorEastAsia" w:hAnsiTheme="minorEastAsia" w:eastAsiaTheme="minorEastAsia"/>
                <w:bCs/>
                <w:sz w:val="24"/>
                <w:szCs w:val="24"/>
              </w:rPr>
              <w:t>5</w:t>
            </w:r>
          </w:p>
        </w:tc>
        <w:tc>
          <w:tcPr>
            <w:tcW w:w="1192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@仿宋_GB2312"/>
                <w:bCs/>
                <w:kern w:val="0"/>
                <w:sz w:val="24"/>
                <w:szCs w:val="28"/>
              </w:rPr>
            </w:pPr>
            <w:r>
              <w:rPr>
                <w:rFonts w:hint="eastAsia" w:ascii="宋体" w:hAnsi="宋体" w:cs="@仿宋_GB2312"/>
                <w:bCs/>
                <w:kern w:val="0"/>
                <w:sz w:val="24"/>
                <w:szCs w:val="28"/>
              </w:rPr>
              <w:t>其他要求</w:t>
            </w:r>
          </w:p>
        </w:tc>
        <w:tc>
          <w:tcPr>
            <w:tcW w:w="3217" w:type="pct"/>
            <w:vAlign w:val="center"/>
          </w:tcPr>
          <w:p>
            <w:pPr>
              <w:spacing w:line="360" w:lineRule="auto"/>
              <w:rPr>
                <w:rFonts w:cs="@仿宋_GB2312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@仿宋_GB2312" w:asciiTheme="minorEastAsia" w:hAnsiTheme="minorEastAsia" w:eastAsiaTheme="minorEastAsia"/>
                <w:kern w:val="0"/>
                <w:sz w:val="24"/>
                <w:szCs w:val="24"/>
              </w:rPr>
              <w:t>根据</w:t>
            </w:r>
            <w:r>
              <w:rPr>
                <w:rFonts w:cs="@仿宋_GB2312" w:asciiTheme="minorEastAsia" w:hAnsiTheme="minorEastAsia" w:eastAsiaTheme="minorEastAsia"/>
                <w:kern w:val="0"/>
                <w:sz w:val="24"/>
                <w:szCs w:val="24"/>
              </w:rPr>
              <w:t>《</w:t>
            </w:r>
            <w:r>
              <w:rPr>
                <w:rFonts w:hint="eastAsia" w:cs="@仿宋_GB2312" w:asciiTheme="minorEastAsia" w:hAnsiTheme="minorEastAsia" w:eastAsiaTheme="minorEastAsia"/>
                <w:kern w:val="0"/>
                <w:sz w:val="24"/>
                <w:szCs w:val="24"/>
              </w:rPr>
              <w:t>政府购买服务管理办法</w:t>
            </w:r>
            <w:r>
              <w:rPr>
                <w:rFonts w:cs="@仿宋_GB2312" w:asciiTheme="minorEastAsia" w:hAnsiTheme="minorEastAsia" w:eastAsiaTheme="minorEastAsia"/>
                <w:kern w:val="0"/>
                <w:sz w:val="24"/>
                <w:szCs w:val="24"/>
              </w:rPr>
              <w:t>》</w:t>
            </w:r>
            <w:r>
              <w:rPr>
                <w:rFonts w:hint="eastAsia" w:cs="@仿宋_GB2312" w:asciiTheme="minorEastAsia" w:hAnsiTheme="minorEastAsia" w:eastAsiaTheme="minorEastAsia"/>
                <w:kern w:val="0"/>
                <w:sz w:val="24"/>
                <w:szCs w:val="24"/>
              </w:rPr>
              <w:t>（中华人民共和国财政部令第102号）要求</w:t>
            </w:r>
            <w:r>
              <w:rPr>
                <w:rFonts w:cs="@仿宋_GB2312" w:asciiTheme="minorEastAsia" w:hAnsiTheme="minorEastAsia" w:eastAsiaTheme="minorEastAsia"/>
                <w:kern w:val="0"/>
                <w:sz w:val="24"/>
                <w:szCs w:val="24"/>
              </w:rPr>
              <w:t>，</w:t>
            </w:r>
            <w:r>
              <w:rPr>
                <w:rFonts w:cs="@仿宋_GB2312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本项目不接受公益一类事业单位参与</w:t>
            </w:r>
            <w:r>
              <w:rPr>
                <w:rFonts w:hint="eastAsia" w:cs="@仿宋_GB2312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磋商。响应文件</w:t>
            </w:r>
            <w:r>
              <w:rPr>
                <w:rFonts w:cs="@仿宋_GB2312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中提供</w:t>
            </w:r>
            <w:r>
              <w:rPr>
                <w:rFonts w:hint="eastAsia" w:cs="@仿宋_GB2312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承接主体声明函</w:t>
            </w:r>
            <w:r>
              <w:rPr>
                <w:rFonts w:cs="@仿宋_GB2312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，具体格式详见第六章响应文件格式</w:t>
            </w:r>
            <w:r>
              <w:rPr>
                <w:rFonts w:hint="eastAsia" w:cs="@仿宋_GB2312" w:asciiTheme="minorEastAsia" w:hAnsiTheme="minorEastAsia" w:eastAsiaTheme="minorEastAsia"/>
                <w:b/>
                <w:bCs/>
                <w:kern w:val="0"/>
                <w:sz w:val="24"/>
                <w:szCs w:val="24"/>
                <w:lang w:eastAsia="zh-CN"/>
              </w:rPr>
              <w:t>十四</w:t>
            </w:r>
            <w:bookmarkStart w:id="2" w:name="_GoBack"/>
            <w:bookmarkEnd w:id="2"/>
            <w:r>
              <w:rPr>
                <w:rFonts w:cs="@仿宋_GB2312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。</w:t>
            </w:r>
          </w:p>
        </w:tc>
      </w:tr>
    </w:tbl>
    <w:p>
      <w:pPr>
        <w:spacing w:line="360" w:lineRule="auto"/>
        <w:ind w:firstLine="437"/>
        <w:rPr>
          <w:rFonts w:cs="@仿宋_GB2312" w:asciiTheme="minorEastAsia" w:hAnsiTheme="minorEastAsia" w:eastAsiaTheme="minorEastAsia"/>
          <w:b/>
          <w:sz w:val="24"/>
          <w:szCs w:val="24"/>
        </w:rPr>
      </w:pPr>
      <w:bookmarkStart w:id="1" w:name="_Hlk16461016"/>
      <w:r>
        <w:rPr>
          <w:rFonts w:hint="eastAsia" w:cs="@仿宋_GB2312" w:asciiTheme="minorEastAsia" w:hAnsiTheme="minorEastAsia" w:eastAsiaTheme="minorEastAsia"/>
          <w:b/>
          <w:sz w:val="24"/>
          <w:szCs w:val="24"/>
        </w:rPr>
        <w:t>二、项目概况</w:t>
      </w:r>
    </w:p>
    <w:bookmarkEnd w:id="1"/>
    <w:p>
      <w:pPr>
        <w:spacing w:line="360" w:lineRule="auto"/>
        <w:ind w:firstLine="480" w:firstLineChars="20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为加强对重点食品生产经营企业的监管，深入排查食品安全隐患，提高监督检查工作成效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，</w:t>
      </w:r>
      <w:r>
        <w:rPr>
          <w:rFonts w:hint="eastAsia" w:ascii="宋体" w:hAnsi="宋体"/>
          <w:sz w:val="24"/>
          <w:szCs w:val="24"/>
        </w:rPr>
        <w:t>结合合肥市实际情况，合肥市市场监督管理局拟委托</w:t>
      </w:r>
      <w:r>
        <w:rPr>
          <w:rFonts w:hint="eastAsia" w:ascii="宋体" w:hAnsi="宋体"/>
          <w:sz w:val="24"/>
          <w:szCs w:val="18"/>
          <w:lang w:eastAsia="zh-CN"/>
        </w:rPr>
        <w:t>第三方专业</w:t>
      </w:r>
      <w:r>
        <w:rPr>
          <w:rFonts w:hint="eastAsia" w:ascii="宋体" w:hAnsi="宋体"/>
          <w:sz w:val="24"/>
          <w:szCs w:val="18"/>
        </w:rPr>
        <w:t>机构</w:t>
      </w:r>
      <w:r>
        <w:rPr>
          <w:rFonts w:hint="eastAsia" w:ascii="宋体" w:hAnsi="宋体"/>
          <w:sz w:val="24"/>
          <w:szCs w:val="24"/>
        </w:rPr>
        <w:t>，对2020年合肥市市本级</w:t>
      </w:r>
      <w:r>
        <w:rPr>
          <w:rFonts w:hint="eastAsia" w:ascii="宋体" w:hAnsi="宋体"/>
          <w:sz w:val="24"/>
          <w:szCs w:val="24"/>
          <w:lang w:eastAsia="zh-CN"/>
        </w:rPr>
        <w:t>食品生产经营企业（</w:t>
      </w:r>
      <w:r>
        <w:rPr>
          <w:rFonts w:hint="eastAsia" w:ascii="宋体" w:hAnsi="宋体"/>
          <w:sz w:val="24"/>
          <w:szCs w:val="24"/>
          <w:lang w:val="en-US" w:eastAsia="zh-CN"/>
        </w:rPr>
        <w:t>64家</w:t>
      </w:r>
      <w:r>
        <w:rPr>
          <w:rFonts w:hint="eastAsia" w:ascii="宋体" w:hAnsi="宋体"/>
          <w:sz w:val="24"/>
          <w:szCs w:val="24"/>
          <w:lang w:eastAsia="zh-CN"/>
        </w:rPr>
        <w:t>）</w:t>
      </w:r>
      <w:r>
        <w:rPr>
          <w:rFonts w:hint="eastAsia" w:ascii="宋体" w:hAnsi="宋体"/>
          <w:sz w:val="24"/>
          <w:szCs w:val="24"/>
        </w:rPr>
        <w:t>进行</w:t>
      </w:r>
      <w:r>
        <w:rPr>
          <w:rFonts w:hint="eastAsia" w:ascii="宋体" w:hAnsi="宋体"/>
          <w:sz w:val="24"/>
          <w:szCs w:val="24"/>
          <w:lang w:eastAsia="zh-CN"/>
        </w:rPr>
        <w:t>体系检查</w:t>
      </w:r>
      <w:r>
        <w:rPr>
          <w:rFonts w:hint="eastAsia" w:ascii="宋体" w:hAnsi="宋体"/>
          <w:sz w:val="24"/>
          <w:szCs w:val="24"/>
        </w:rPr>
        <w:t>。</w:t>
      </w:r>
      <w:r>
        <w:rPr>
          <w:rFonts w:hint="eastAsia" w:ascii="宋体" w:hAnsi="宋体"/>
          <w:sz w:val="24"/>
          <w:szCs w:val="24"/>
          <w:lang w:eastAsia="zh-CN"/>
        </w:rPr>
        <w:t>其中，食品生产企业</w:t>
      </w:r>
      <w:r>
        <w:rPr>
          <w:rFonts w:hint="eastAsia" w:ascii="宋体" w:hAnsi="宋体"/>
          <w:sz w:val="24"/>
          <w:szCs w:val="24"/>
          <w:lang w:val="en-US" w:eastAsia="zh-CN"/>
        </w:rPr>
        <w:t>30家，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包含全市所有食品添加剂生产企业、部分白酒食品生产企业和规模以上食品生产企业；食品流通企业4家，从全市大型零售连锁企业中抽取；餐饮服务企业30家，主要为中央厨房、集体用餐配送单位。</w:t>
      </w:r>
    </w:p>
    <w:p>
      <w:pPr>
        <w:spacing w:line="360" w:lineRule="auto"/>
        <w:ind w:firstLine="480" w:firstLineChars="200"/>
        <w:rPr>
          <w:rFonts w:ascii="宋体" w:hAnsi="宋体"/>
          <w:sz w:val="24"/>
          <w:szCs w:val="18"/>
        </w:rPr>
      </w:pPr>
      <w:r>
        <w:rPr>
          <w:rFonts w:hint="eastAsia" w:ascii="宋体" w:hAnsi="宋体"/>
          <w:sz w:val="24"/>
          <w:szCs w:val="18"/>
        </w:rPr>
        <w:t>本包别</w:t>
      </w:r>
      <w:r>
        <w:rPr>
          <w:rFonts w:ascii="宋体" w:hAnsi="宋体"/>
          <w:sz w:val="24"/>
          <w:szCs w:val="18"/>
        </w:rPr>
        <w:t>拟招两家服务机构</w:t>
      </w:r>
      <w:r>
        <w:rPr>
          <w:rFonts w:hint="eastAsia" w:ascii="宋体" w:hAnsi="宋体"/>
          <w:sz w:val="24"/>
          <w:szCs w:val="18"/>
        </w:rPr>
        <w:t>，</w:t>
      </w:r>
      <w:r>
        <w:rPr>
          <w:rFonts w:hint="eastAsia" w:ascii="宋体" w:hAnsi="宋体"/>
          <w:sz w:val="24"/>
          <w:szCs w:val="18"/>
          <w:lang w:eastAsia="zh-CN"/>
        </w:rPr>
        <w:t>平均</w:t>
      </w:r>
      <w:r>
        <w:rPr>
          <w:rFonts w:ascii="宋体" w:hAnsi="宋体"/>
          <w:sz w:val="24"/>
          <w:szCs w:val="18"/>
        </w:rPr>
        <w:t>分配</w:t>
      </w:r>
      <w:r>
        <w:rPr>
          <w:rFonts w:hint="eastAsia" w:ascii="宋体" w:hAnsi="宋体"/>
          <w:sz w:val="24"/>
          <w:szCs w:val="18"/>
          <w:lang w:eastAsia="zh-CN"/>
        </w:rPr>
        <w:t>同等</w:t>
      </w:r>
      <w:r>
        <w:rPr>
          <w:rFonts w:hint="eastAsia" w:ascii="宋体" w:hAnsi="宋体"/>
          <w:sz w:val="24"/>
          <w:szCs w:val="18"/>
        </w:rPr>
        <w:t>任务</w:t>
      </w:r>
      <w:r>
        <w:rPr>
          <w:rFonts w:ascii="宋体" w:hAnsi="宋体"/>
          <w:sz w:val="24"/>
          <w:szCs w:val="18"/>
        </w:rPr>
        <w:t>，</w:t>
      </w:r>
      <w:r>
        <w:rPr>
          <w:rFonts w:hint="eastAsia" w:ascii="宋体" w:hAnsi="宋体"/>
          <w:sz w:val="24"/>
          <w:szCs w:val="18"/>
          <w:lang w:eastAsia="zh-CN"/>
        </w:rPr>
        <w:t>各检查</w:t>
      </w:r>
      <w:r>
        <w:rPr>
          <w:rFonts w:hint="eastAsia" w:ascii="宋体" w:hAnsi="宋体"/>
          <w:sz w:val="24"/>
          <w:szCs w:val="18"/>
          <w:lang w:val="en-US" w:eastAsia="zh-CN"/>
        </w:rPr>
        <w:t>32家企业。</w:t>
      </w:r>
    </w:p>
    <w:p>
      <w:pPr>
        <w:adjustRightInd w:val="0"/>
        <w:snapToGrid w:val="0"/>
        <w:spacing w:line="360" w:lineRule="auto"/>
        <w:ind w:firstLine="482" w:firstLineChars="200"/>
        <w:rPr>
          <w:rFonts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三、报价要求</w:t>
      </w:r>
    </w:p>
    <w:p>
      <w:pPr>
        <w:spacing w:line="360" w:lineRule="auto"/>
        <w:ind w:firstLine="480" w:firstLineChars="200"/>
        <w:rPr>
          <w:rFonts w:hint="eastAsia" w:ascii="宋体" w:hAnsi="宋体" w:eastAsia="宋体"/>
          <w:color w:val="FF0000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本包采用定价磋商方式，拟招2家</w:t>
      </w:r>
      <w:r>
        <w:rPr>
          <w:rFonts w:ascii="宋体" w:hAnsi="宋体"/>
          <w:sz w:val="24"/>
          <w:szCs w:val="24"/>
        </w:rPr>
        <w:t>服务机构，</w:t>
      </w:r>
      <w:r>
        <w:rPr>
          <w:rFonts w:hint="eastAsia" w:ascii="宋体" w:hAnsi="宋体"/>
          <w:sz w:val="24"/>
          <w:szCs w:val="24"/>
        </w:rPr>
        <w:t>定价金额</w:t>
      </w:r>
      <w:r>
        <w:rPr>
          <w:rFonts w:hint="eastAsia" w:ascii="宋体" w:hAnsi="宋体"/>
          <w:sz w:val="24"/>
          <w:szCs w:val="24"/>
          <w:lang w:eastAsia="zh-CN"/>
        </w:rPr>
        <w:t>总计不超过</w:t>
      </w:r>
      <w:r>
        <w:rPr>
          <w:rFonts w:hint="eastAsia" w:ascii="宋体" w:hAnsi="宋体"/>
          <w:sz w:val="24"/>
          <w:szCs w:val="24"/>
          <w:lang w:val="en-US" w:eastAsia="zh-CN"/>
        </w:rPr>
        <w:t>22万元</w:t>
      </w:r>
      <w:r>
        <w:rPr>
          <w:rFonts w:ascii="宋体" w:hAnsi="宋体"/>
          <w:sz w:val="24"/>
          <w:szCs w:val="24"/>
        </w:rPr>
        <w:t>。</w:t>
      </w:r>
      <w:r>
        <w:rPr>
          <w:rFonts w:hint="eastAsia" w:ascii="宋体" w:hAnsi="宋体"/>
          <w:sz w:val="24"/>
          <w:szCs w:val="24"/>
        </w:rPr>
        <w:t>定价金额</w:t>
      </w:r>
      <w:r>
        <w:rPr>
          <w:rFonts w:ascii="宋体" w:hAnsi="宋体"/>
          <w:sz w:val="24"/>
          <w:szCs w:val="24"/>
        </w:rPr>
        <w:t>即</w:t>
      </w:r>
      <w:r>
        <w:rPr>
          <w:rFonts w:hint="eastAsia" w:ascii="宋体" w:hAnsi="宋体"/>
          <w:sz w:val="24"/>
          <w:szCs w:val="24"/>
        </w:rPr>
        <w:t>为完成本包别分配任务所需的一切费用，成交后采购人不再追加任何费用。签订合同时和项目实施过程中，成交供应商不得以不完全了解现场情况为由，提出任何形式的增加费用的要求。</w:t>
      </w:r>
      <w:r>
        <w:rPr>
          <w:rFonts w:hint="eastAsia" w:ascii="宋体" w:hAnsi="宋体"/>
          <w:color w:val="FF0000"/>
          <w:sz w:val="24"/>
          <w:szCs w:val="24"/>
          <w:lang w:eastAsia="zh-CN"/>
        </w:rPr>
        <w:t>成交供应商按照</w:t>
      </w:r>
      <w:r>
        <w:rPr>
          <w:rFonts w:hint="eastAsia" w:ascii="宋体" w:hAnsi="宋体"/>
          <w:color w:val="FF0000"/>
          <w:sz w:val="24"/>
          <w:szCs w:val="24"/>
          <w:lang w:val="en-US" w:eastAsia="zh-CN"/>
        </w:rPr>
        <w:t>1/2</w:t>
      </w:r>
      <w:r>
        <w:rPr>
          <w:rFonts w:hint="eastAsia" w:ascii="宋体" w:hAnsi="宋体"/>
          <w:color w:val="FF0000"/>
          <w:sz w:val="24"/>
          <w:szCs w:val="24"/>
          <w:lang w:eastAsia="zh-CN"/>
        </w:rPr>
        <w:t>的工作量各支付报价的</w:t>
      </w:r>
      <w:r>
        <w:rPr>
          <w:rFonts w:hint="eastAsia" w:ascii="宋体" w:hAnsi="宋体"/>
          <w:color w:val="FF0000"/>
          <w:sz w:val="24"/>
          <w:szCs w:val="24"/>
          <w:lang w:val="en-US" w:eastAsia="zh-CN"/>
        </w:rPr>
        <w:t>1/2</w:t>
      </w:r>
      <w:r>
        <w:rPr>
          <w:rFonts w:hint="eastAsia" w:ascii="宋体" w:hAnsi="宋体"/>
          <w:color w:val="FF0000"/>
          <w:sz w:val="24"/>
          <w:szCs w:val="24"/>
          <w:lang w:eastAsia="zh-CN"/>
        </w:rPr>
        <w:t>费用。</w:t>
      </w:r>
    </w:p>
    <w:p>
      <w:pPr>
        <w:spacing w:line="360" w:lineRule="auto"/>
        <w:ind w:firstLine="495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四</w:t>
      </w:r>
      <w:r>
        <w:rPr>
          <w:rFonts w:ascii="宋体" w:hAnsi="宋体"/>
          <w:b/>
          <w:bCs/>
          <w:sz w:val="24"/>
          <w:szCs w:val="24"/>
        </w:rPr>
        <w:t>、确定</w:t>
      </w:r>
      <w:r>
        <w:rPr>
          <w:rFonts w:hint="eastAsia" w:ascii="宋体" w:hAnsi="宋体"/>
          <w:b/>
          <w:bCs/>
          <w:sz w:val="24"/>
          <w:szCs w:val="24"/>
        </w:rPr>
        <w:t>成交</w:t>
      </w:r>
      <w:r>
        <w:rPr>
          <w:rFonts w:ascii="宋体" w:hAnsi="宋体"/>
          <w:b/>
          <w:bCs/>
          <w:sz w:val="24"/>
          <w:szCs w:val="24"/>
        </w:rPr>
        <w:t>供应商</w:t>
      </w:r>
    </w:p>
    <w:p>
      <w:pPr>
        <w:spacing w:line="360" w:lineRule="auto"/>
        <w:ind w:firstLine="437"/>
        <w:rPr>
          <w:rFonts w:cs="@仿宋_GB2312" w:asciiTheme="minorEastAsia" w:hAnsiTheme="minorEastAsia" w:eastAsiaTheme="minorEastAsia"/>
          <w:b/>
          <w:sz w:val="24"/>
          <w:szCs w:val="24"/>
        </w:rPr>
      </w:pPr>
      <w:r>
        <w:rPr>
          <w:rFonts w:hint="eastAsia" w:cs="@仿宋_GB2312" w:asciiTheme="minorEastAsia" w:hAnsiTheme="minorEastAsia" w:eastAsiaTheme="minorEastAsia"/>
          <w:b/>
          <w:sz w:val="24"/>
          <w:szCs w:val="24"/>
        </w:rPr>
        <w:t>1、</w:t>
      </w:r>
      <w:r>
        <w:rPr>
          <w:rFonts w:cs="@仿宋_GB2312" w:asciiTheme="minorEastAsia" w:hAnsiTheme="minorEastAsia" w:eastAsiaTheme="minorEastAsia"/>
          <w:b/>
          <w:sz w:val="24"/>
          <w:szCs w:val="24"/>
        </w:rPr>
        <w:t>供应商与成交供应商</w:t>
      </w:r>
      <w:r>
        <w:rPr>
          <w:rFonts w:hint="eastAsia" w:cs="@仿宋_GB2312" w:asciiTheme="minorEastAsia" w:hAnsiTheme="minorEastAsia" w:eastAsiaTheme="minorEastAsia"/>
          <w:b/>
          <w:sz w:val="24"/>
          <w:szCs w:val="24"/>
        </w:rPr>
        <w:t>数量关系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2"/>
        <w:gridCol w:w="3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3622" w:type="dxa"/>
            <w:vAlign w:val="center"/>
          </w:tcPr>
          <w:p>
            <w:pPr>
              <w:spacing w:before="93" w:beforeLines="30" w:line="360" w:lineRule="auto"/>
              <w:jc w:val="center"/>
              <w:rPr>
                <w:rFonts w:cs="@仿宋_GB2312" w:asciiTheme="minorEastAsia" w:hAnsiTheme="minorEastAsia" w:eastAsiaTheme="minorEastAsia"/>
                <w:b/>
                <w:sz w:val="24"/>
                <w:szCs w:val="28"/>
              </w:rPr>
            </w:pPr>
            <w:r>
              <w:rPr>
                <w:rFonts w:hint="eastAsia" w:cs="@仿宋_GB2312" w:asciiTheme="minorEastAsia" w:hAnsiTheme="minorEastAsia" w:eastAsiaTheme="minorEastAsia"/>
                <w:b/>
                <w:sz w:val="24"/>
                <w:szCs w:val="28"/>
              </w:rPr>
              <w:t>供应商</w:t>
            </w:r>
            <w:r>
              <w:rPr>
                <w:rFonts w:cs="@仿宋_GB2312" w:asciiTheme="minorEastAsia" w:hAnsiTheme="minorEastAsia" w:eastAsiaTheme="minorEastAsia"/>
                <w:b/>
                <w:sz w:val="24"/>
                <w:szCs w:val="28"/>
              </w:rPr>
              <w:t>数量</w:t>
            </w:r>
          </w:p>
        </w:tc>
        <w:tc>
          <w:tcPr>
            <w:tcW w:w="3544" w:type="dxa"/>
            <w:vAlign w:val="center"/>
          </w:tcPr>
          <w:p>
            <w:pPr>
              <w:spacing w:before="93" w:beforeLines="30" w:line="360" w:lineRule="auto"/>
              <w:jc w:val="center"/>
              <w:rPr>
                <w:rFonts w:cs="@仿宋_GB2312" w:asciiTheme="minorEastAsia" w:hAnsiTheme="minorEastAsia" w:eastAsiaTheme="minorEastAsia"/>
                <w:b/>
                <w:sz w:val="24"/>
                <w:szCs w:val="28"/>
              </w:rPr>
            </w:pPr>
            <w:r>
              <w:rPr>
                <w:rFonts w:hint="eastAsia" w:cs="@仿宋_GB2312" w:asciiTheme="minorEastAsia" w:hAnsiTheme="minorEastAsia" w:eastAsiaTheme="minorEastAsia"/>
                <w:b/>
                <w:sz w:val="24"/>
                <w:szCs w:val="28"/>
              </w:rPr>
              <w:t>成交供应商数量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22" w:type="dxa"/>
            <w:vAlign w:val="center"/>
          </w:tcPr>
          <w:p>
            <w:pPr>
              <w:spacing w:before="93" w:beforeLines="30" w:line="360" w:lineRule="auto"/>
              <w:jc w:val="center"/>
              <w:rPr>
                <w:rFonts w:cs="@仿宋_GB2312" w:asciiTheme="minorEastAsia" w:hAnsiTheme="minorEastAsia" w:eastAsiaTheme="minorEastAsia"/>
                <w:sz w:val="24"/>
                <w:szCs w:val="28"/>
              </w:rPr>
            </w:pPr>
            <w:r>
              <w:rPr>
                <w:rFonts w:cs="@仿宋_GB2312" w:asciiTheme="minorEastAsia" w:hAnsiTheme="minorEastAsia" w:eastAsiaTheme="minorEastAsia"/>
                <w:sz w:val="24"/>
                <w:szCs w:val="28"/>
              </w:rPr>
              <w:t>3家</w:t>
            </w:r>
            <w:r>
              <w:rPr>
                <w:rFonts w:hint="eastAsia" w:cs="@仿宋_GB2312" w:asciiTheme="minorEastAsia" w:hAnsiTheme="minorEastAsia" w:eastAsiaTheme="minorEastAsia"/>
                <w:sz w:val="24"/>
                <w:szCs w:val="28"/>
              </w:rPr>
              <w:t>及以上</w:t>
            </w:r>
          </w:p>
        </w:tc>
        <w:tc>
          <w:tcPr>
            <w:tcW w:w="3544" w:type="dxa"/>
            <w:vAlign w:val="center"/>
          </w:tcPr>
          <w:p>
            <w:pPr>
              <w:spacing w:before="93" w:beforeLines="30" w:line="360" w:lineRule="auto"/>
              <w:jc w:val="center"/>
              <w:rPr>
                <w:rFonts w:cs="@仿宋_GB2312" w:asciiTheme="minorEastAsia" w:hAnsiTheme="minorEastAsia" w:eastAsiaTheme="minorEastAsia"/>
                <w:sz w:val="24"/>
                <w:szCs w:val="28"/>
              </w:rPr>
            </w:pPr>
            <w:r>
              <w:rPr>
                <w:rFonts w:cs="@仿宋_GB2312" w:asciiTheme="minorEastAsia" w:hAnsiTheme="minorEastAsia" w:eastAsiaTheme="minorEastAsia"/>
                <w:sz w:val="24"/>
                <w:szCs w:val="28"/>
              </w:rPr>
              <w:t>2家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22" w:type="dxa"/>
            <w:vAlign w:val="center"/>
          </w:tcPr>
          <w:p>
            <w:pPr>
              <w:spacing w:before="93" w:beforeLines="30" w:line="360" w:lineRule="auto"/>
              <w:jc w:val="center"/>
              <w:rPr>
                <w:rFonts w:cs="@仿宋_GB2312" w:asciiTheme="minorEastAsia" w:hAnsiTheme="minorEastAsia" w:eastAsiaTheme="minorEastAsia"/>
                <w:sz w:val="24"/>
                <w:szCs w:val="28"/>
              </w:rPr>
            </w:pPr>
            <w:r>
              <w:rPr>
                <w:rFonts w:cs="@仿宋_GB2312" w:asciiTheme="minorEastAsia" w:hAnsiTheme="minorEastAsia" w:eastAsiaTheme="minorEastAsia"/>
                <w:sz w:val="24"/>
                <w:szCs w:val="28"/>
              </w:rPr>
              <w:t>2</w:t>
            </w:r>
            <w:r>
              <w:rPr>
                <w:rFonts w:hint="eastAsia" w:cs="@仿宋_GB2312" w:asciiTheme="minorEastAsia" w:hAnsiTheme="minorEastAsia" w:eastAsiaTheme="minorEastAsia"/>
                <w:sz w:val="24"/>
                <w:szCs w:val="28"/>
              </w:rPr>
              <w:t>家及以下</w:t>
            </w:r>
          </w:p>
        </w:tc>
        <w:tc>
          <w:tcPr>
            <w:tcW w:w="3544" w:type="dxa"/>
            <w:vAlign w:val="center"/>
          </w:tcPr>
          <w:p>
            <w:pPr>
              <w:spacing w:before="93" w:beforeLines="30" w:line="360" w:lineRule="auto"/>
              <w:jc w:val="center"/>
              <w:rPr>
                <w:rFonts w:cs="@仿宋_GB2312" w:asciiTheme="minorEastAsia" w:hAnsiTheme="minorEastAsia" w:eastAsiaTheme="minorEastAsia"/>
                <w:sz w:val="24"/>
                <w:szCs w:val="28"/>
              </w:rPr>
            </w:pPr>
            <w:r>
              <w:rPr>
                <w:rFonts w:hint="eastAsia" w:cs="@仿宋_GB2312" w:asciiTheme="minorEastAsia" w:hAnsiTheme="minorEastAsia" w:eastAsiaTheme="minorEastAsia"/>
                <w:sz w:val="24"/>
                <w:szCs w:val="28"/>
              </w:rPr>
              <w:t>流标</w:t>
            </w:r>
          </w:p>
        </w:tc>
      </w:tr>
    </w:tbl>
    <w:p>
      <w:pPr>
        <w:spacing w:line="360" w:lineRule="auto"/>
        <w:ind w:firstLine="495"/>
        <w:rPr>
          <w:rFonts w:hint="eastAsia" w:ascii="宋体" w:hAnsi="宋体" w:eastAsiaTheme="minorEastAsia"/>
          <w:b/>
          <w:sz w:val="24"/>
          <w:szCs w:val="24"/>
          <w:lang w:eastAsia="zh-CN"/>
        </w:rPr>
      </w:pPr>
      <w:r>
        <w:rPr>
          <w:rFonts w:hint="eastAsia" w:ascii="宋体" w:hAnsi="宋体"/>
          <w:b/>
          <w:sz w:val="24"/>
          <w:szCs w:val="24"/>
        </w:rPr>
        <w:t>2、</w:t>
      </w:r>
      <w:r>
        <w:rPr>
          <w:rFonts w:hint="eastAsia" w:cs="@仿宋_GB2312" w:asciiTheme="minorEastAsia" w:hAnsiTheme="minorEastAsia" w:eastAsiaTheme="minorEastAsia"/>
          <w:b/>
          <w:sz w:val="24"/>
          <w:szCs w:val="24"/>
        </w:rPr>
        <w:t>本项目成交供应商</w:t>
      </w:r>
      <w:r>
        <w:rPr>
          <w:rFonts w:cs="@仿宋_GB2312" w:asciiTheme="minorEastAsia" w:hAnsiTheme="minorEastAsia" w:eastAsiaTheme="minorEastAsia"/>
          <w:b/>
          <w:sz w:val="24"/>
          <w:szCs w:val="24"/>
        </w:rPr>
        <w:t>分配</w:t>
      </w:r>
      <w:r>
        <w:rPr>
          <w:rFonts w:hint="eastAsia" w:cs="@仿宋_GB2312" w:asciiTheme="minorEastAsia" w:hAnsiTheme="minorEastAsia" w:eastAsiaTheme="minorEastAsia"/>
          <w:b/>
          <w:sz w:val="24"/>
          <w:szCs w:val="24"/>
          <w:lang w:eastAsia="zh-CN"/>
        </w:rPr>
        <w:t>明细</w:t>
      </w:r>
    </w:p>
    <w:tbl>
      <w:tblPr>
        <w:tblStyle w:val="5"/>
        <w:tblW w:w="9462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1536"/>
        <w:gridCol w:w="5802"/>
        <w:gridCol w:w="9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1158" w:type="dxa"/>
            <w:vAlign w:val="center"/>
          </w:tcPr>
          <w:p>
            <w:pPr>
              <w:adjustRightInd w:val="0"/>
              <w:snapToGrid w:val="0"/>
              <w:spacing w:line="360" w:lineRule="auto"/>
              <w:ind w:left="140" w:hanging="140" w:hangingChars="58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hint="eastAsia" w:cs="@仿宋_GB2312" w:asciiTheme="minorEastAsia" w:hAnsiTheme="minorEastAsia" w:eastAsiaTheme="minorEastAsia"/>
                <w:b/>
                <w:sz w:val="24"/>
                <w:szCs w:val="28"/>
              </w:rPr>
              <w:t>成交供应商评审排名</w:t>
            </w:r>
          </w:p>
        </w:tc>
        <w:tc>
          <w:tcPr>
            <w:tcW w:w="153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kern w:val="0"/>
                <w:sz w:val="24"/>
              </w:rPr>
              <w:t>服务种类</w:t>
            </w:r>
          </w:p>
        </w:tc>
        <w:tc>
          <w:tcPr>
            <w:tcW w:w="5802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kern w:val="0"/>
                <w:sz w:val="24"/>
              </w:rPr>
              <w:t>服务内容和方式</w:t>
            </w:r>
          </w:p>
        </w:tc>
        <w:tc>
          <w:tcPr>
            <w:tcW w:w="96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1</w:t>
            </w:r>
          </w:p>
        </w:tc>
        <w:tc>
          <w:tcPr>
            <w:tcW w:w="1536" w:type="dxa"/>
            <w:vAlign w:val="center"/>
          </w:tcPr>
          <w:p>
            <w:pPr>
              <w:adjustRightInd w:val="0"/>
              <w:snapToGrid w:val="0"/>
              <w:spacing w:line="360" w:lineRule="auto"/>
              <w:ind w:firstLine="42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组织对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食品企业体系</w:t>
            </w:r>
            <w:r>
              <w:rPr>
                <w:rFonts w:hint="eastAsia" w:ascii="宋体" w:hAnsi="宋体"/>
                <w:kern w:val="0"/>
                <w:sz w:val="24"/>
              </w:rPr>
              <w:t>检查</w:t>
            </w:r>
          </w:p>
        </w:tc>
        <w:tc>
          <w:tcPr>
            <w:tcW w:w="5802" w:type="dxa"/>
          </w:tcPr>
          <w:p>
            <w:pPr>
              <w:adjustRightInd w:val="0"/>
              <w:snapToGrid w:val="0"/>
              <w:spacing w:line="360" w:lineRule="auto"/>
              <w:rPr>
                <w:rFonts w:cs="@仿宋_GB2312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="宋体" w:hAnsi="宋体"/>
                <w:color w:val="FF0000"/>
                <w:sz w:val="24"/>
                <w:szCs w:val="18"/>
              </w:rPr>
              <w:t>组织对2020年市本级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24"/>
              </w:rPr>
              <w:t>食品生产经营企业食品安全管理体系建立运行情况开展全面检查；每家企业检查时间一般不少于1天，检查对象一般为重点企业；</w:t>
            </w:r>
            <w:r>
              <w:rPr>
                <w:rFonts w:hint="eastAsia" w:ascii="宋体" w:hAnsi="宋体"/>
                <w:color w:val="FF0000"/>
                <w:sz w:val="24"/>
                <w:szCs w:val="24"/>
              </w:rPr>
              <w:t>撰写2020年全市食品</w:t>
            </w:r>
            <w:r>
              <w:rPr>
                <w:rFonts w:hint="eastAsia" w:ascii="宋体" w:hAnsi="宋体"/>
                <w:color w:val="FF0000"/>
                <w:sz w:val="24"/>
                <w:szCs w:val="24"/>
                <w:lang w:eastAsia="zh-CN"/>
              </w:rPr>
              <w:t>安全管理体系建立运行检查</w:t>
            </w:r>
            <w:r>
              <w:rPr>
                <w:rFonts w:hint="eastAsia" w:ascii="宋体" w:hAnsi="宋体"/>
                <w:color w:val="FF0000"/>
                <w:sz w:val="24"/>
                <w:szCs w:val="24"/>
              </w:rPr>
              <w:t>报告。</w:t>
            </w:r>
          </w:p>
        </w:tc>
        <w:tc>
          <w:tcPr>
            <w:tcW w:w="966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成交的</w:t>
            </w: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2家供应商分别承担32家企业检查任务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2</w:t>
            </w:r>
          </w:p>
        </w:tc>
        <w:tc>
          <w:tcPr>
            <w:tcW w:w="1536" w:type="dxa"/>
            <w:vAlign w:val="center"/>
          </w:tcPr>
          <w:p>
            <w:pPr>
              <w:adjustRightInd w:val="0"/>
              <w:snapToGrid w:val="0"/>
              <w:spacing w:line="360" w:lineRule="auto"/>
              <w:ind w:firstLine="42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组织对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食品企业体系</w:t>
            </w:r>
            <w:r>
              <w:rPr>
                <w:rFonts w:hint="eastAsia" w:ascii="宋体" w:hAnsi="宋体"/>
                <w:kern w:val="0"/>
                <w:sz w:val="24"/>
              </w:rPr>
              <w:t>检查</w:t>
            </w:r>
          </w:p>
        </w:tc>
        <w:tc>
          <w:tcPr>
            <w:tcW w:w="5802" w:type="dxa"/>
          </w:tcPr>
          <w:p>
            <w:pPr>
              <w:adjustRightInd w:val="0"/>
              <w:snapToGrid w:val="0"/>
              <w:spacing w:line="360" w:lineRule="auto"/>
              <w:rPr>
                <w:rFonts w:cs="@仿宋_GB2312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="宋体" w:hAnsi="宋体"/>
                <w:color w:val="FF0000"/>
                <w:sz w:val="24"/>
                <w:szCs w:val="18"/>
              </w:rPr>
              <w:t>组织对2020年市本级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24"/>
              </w:rPr>
              <w:t>食品生产经营企业食品安全管理体系建立运行情况开展全面检查；每家企业检查时间一般不少于1天，检查对象一般为重点企业；</w:t>
            </w:r>
            <w:r>
              <w:rPr>
                <w:rFonts w:hint="eastAsia" w:ascii="宋体" w:hAnsi="宋体"/>
                <w:color w:val="FF0000"/>
                <w:sz w:val="24"/>
                <w:szCs w:val="24"/>
              </w:rPr>
              <w:t>撰写2020年全市食品</w:t>
            </w:r>
            <w:r>
              <w:rPr>
                <w:rFonts w:hint="eastAsia" w:ascii="宋体" w:hAnsi="宋体"/>
                <w:color w:val="FF0000"/>
                <w:sz w:val="24"/>
                <w:szCs w:val="24"/>
                <w:lang w:eastAsia="zh-CN"/>
              </w:rPr>
              <w:t>安全管理体系建立运行检查</w:t>
            </w:r>
            <w:r>
              <w:rPr>
                <w:rFonts w:hint="eastAsia" w:ascii="宋体" w:hAnsi="宋体"/>
                <w:color w:val="FF0000"/>
                <w:sz w:val="24"/>
                <w:szCs w:val="24"/>
              </w:rPr>
              <w:t>报告。</w:t>
            </w:r>
          </w:p>
        </w:tc>
        <w:tc>
          <w:tcPr>
            <w:tcW w:w="966" w:type="dxa"/>
            <w:vMerge w:val="continue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kern w:val="0"/>
                <w:sz w:val="24"/>
              </w:rPr>
            </w:pPr>
          </w:p>
        </w:tc>
      </w:tr>
    </w:tbl>
    <w:p>
      <w:pPr>
        <w:spacing w:line="360" w:lineRule="auto"/>
        <w:ind w:firstLine="495"/>
        <w:rPr>
          <w:rFonts w:ascii="宋体" w:hAnsi="宋体"/>
          <w:b/>
          <w:sz w:val="24"/>
          <w:szCs w:val="24"/>
        </w:rPr>
      </w:pPr>
    </w:p>
    <w:p>
      <w:pPr>
        <w:spacing w:line="360" w:lineRule="auto"/>
        <w:ind w:firstLine="495"/>
        <w:rPr>
          <w:rFonts w:ascii="宋体" w:hAnsi="宋体"/>
          <w:b/>
          <w:sz w:val="24"/>
          <w:szCs w:val="24"/>
        </w:rPr>
      </w:pPr>
    </w:p>
    <w:p>
      <w:pPr>
        <w:spacing w:line="360" w:lineRule="auto"/>
        <w:rPr>
          <w:rFonts w:cs="@仿宋_GB2312" w:asciiTheme="minorEastAsia" w:hAnsiTheme="minorEastAsia" w:eastAsiaTheme="minorEastAsia"/>
          <w:sz w:val="24"/>
        </w:rPr>
      </w:pPr>
    </w:p>
    <w:p>
      <w:pPr>
        <w:spacing w:line="360" w:lineRule="auto"/>
        <w:ind w:firstLine="480" w:firstLineChars="200"/>
        <w:rPr>
          <w:rFonts w:cs="@仿宋_GB2312" w:asciiTheme="minorEastAsia" w:hAnsiTheme="minorEastAsia" w:eastAsiaTheme="minorEastAsia"/>
          <w:sz w:val="24"/>
        </w:rPr>
      </w:pPr>
    </w:p>
    <w:bookmarkEnd w:id="0"/>
    <w:p>
      <w:pPr>
        <w:spacing w:line="360" w:lineRule="auto"/>
        <w:ind w:firstLine="437"/>
        <w:jc w:val="center"/>
        <w:rPr>
          <w:rFonts w:hint="eastAsia" w:asciiTheme="minorEastAsia" w:hAnsiTheme="minorEastAsia" w:eastAsiaTheme="minorEastAsia"/>
          <w:b/>
          <w:sz w:val="24"/>
          <w:szCs w:val="24"/>
        </w:rPr>
      </w:pP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@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sz w:val="21"/>
        <w:szCs w:val="21"/>
      </w:rPr>
    </w:pPr>
    <w:r>
      <w:rPr>
        <w:rFonts w:hint="eastAsia"/>
        <w:sz w:val="21"/>
        <w:szCs w:val="21"/>
      </w:rPr>
      <w:t xml:space="preserve">第 </w:t>
    </w:r>
    <w:r>
      <w:rPr>
        <w:rFonts w:hint="eastAsia"/>
        <w:sz w:val="21"/>
        <w:szCs w:val="21"/>
      </w:rPr>
      <w:fldChar w:fldCharType="begin"/>
    </w:r>
    <w:r>
      <w:rPr>
        <w:rFonts w:hint="eastAsia"/>
        <w:sz w:val="21"/>
        <w:szCs w:val="21"/>
      </w:rPr>
      <w:instrText xml:space="preserve"> PAGE  \* MERGEFORMAT </w:instrText>
    </w:r>
    <w:r>
      <w:rPr>
        <w:rFonts w:hint="eastAsia"/>
        <w:sz w:val="21"/>
        <w:szCs w:val="21"/>
      </w:rPr>
      <w:fldChar w:fldCharType="separate"/>
    </w:r>
    <w:r>
      <w:rPr>
        <w:sz w:val="21"/>
        <w:szCs w:val="21"/>
      </w:rPr>
      <w:t>3</w:t>
    </w:r>
    <w:r>
      <w:rPr>
        <w:rFonts w:hint="eastAsia"/>
        <w:sz w:val="21"/>
        <w:szCs w:val="21"/>
      </w:rPr>
      <w:fldChar w:fldCharType="end"/>
    </w:r>
    <w:r>
      <w:rPr>
        <w:rFonts w:hint="eastAsia"/>
        <w:sz w:val="21"/>
        <w:szCs w:val="21"/>
      </w:rPr>
      <w:t xml:space="preserve"> 页 共 </w:t>
    </w:r>
    <w:r>
      <w:rPr>
        <w:rFonts w:hint="eastAsia"/>
        <w:sz w:val="21"/>
        <w:szCs w:val="21"/>
      </w:rPr>
      <w:fldChar w:fldCharType="begin"/>
    </w:r>
    <w:r>
      <w:rPr>
        <w:rFonts w:hint="eastAsia"/>
        <w:sz w:val="21"/>
        <w:szCs w:val="21"/>
      </w:rPr>
      <w:instrText xml:space="preserve"> NUMPAGES  \* MERGEFORMAT </w:instrText>
    </w:r>
    <w:r>
      <w:rPr>
        <w:rFonts w:hint="eastAsia"/>
        <w:sz w:val="21"/>
        <w:szCs w:val="21"/>
      </w:rPr>
      <w:fldChar w:fldCharType="separate"/>
    </w:r>
    <w:r>
      <w:rPr>
        <w:sz w:val="21"/>
        <w:szCs w:val="21"/>
      </w:rPr>
      <w:t>3</w:t>
    </w:r>
    <w:r>
      <w:rPr>
        <w:rFonts w:hint="eastAsia"/>
        <w:sz w:val="21"/>
        <w:szCs w:val="21"/>
      </w:rPr>
      <w:fldChar w:fldCharType="end"/>
    </w:r>
    <w:r>
      <w:rPr>
        <w:rFonts w:hint="eastAsia"/>
        <w:sz w:val="21"/>
        <w:szCs w:val="21"/>
      </w:rPr>
      <w:t xml:space="preserve"> 页</w:t>
    </w:r>
  </w:p>
  <w:p>
    <w:pPr>
      <w:pStyle w:val="2"/>
      <w:spacing w:line="14" w:lineRule="auto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959485</wp:posOffset>
              </wp:positionH>
              <wp:positionV relativeFrom="page">
                <wp:posOffset>544195</wp:posOffset>
              </wp:positionV>
              <wp:extent cx="3084195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419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20" w:lineRule="exact"/>
                            <w:ind w:left="2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75.55pt;margin-top:42.85pt;height:11pt;width:242.85pt;mso-position-horizontal-relative:page;mso-position-vertical-relative:page;z-index:-251658240;mso-width-relative:page;mso-height-relative:page;" filled="f" stroked="f" coordsize="21600,21600" o:gfxdata="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+5Gaa2AAAAAoBAAAPAAAAAAAAAAEAIAAAACIAAABkcnMvZG93bnJldi54bWxQSwECFAAU&#10;AAAACACHTuJAFfuhPfEBAAC3AwAADgAAAAAAAAABACAAAAAnAQAAZHJzL2Uyb0RvYy54bWxQSwUG&#10;AAAAAAYABgBZAQAAi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20" w:lineRule="exact"/>
                      <w:ind w:left="20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0E4DB3"/>
    <w:rsid w:val="042F4899"/>
    <w:rsid w:val="09682AD6"/>
    <w:rsid w:val="09A74FA0"/>
    <w:rsid w:val="0BA53D08"/>
    <w:rsid w:val="0D36125D"/>
    <w:rsid w:val="134A78BC"/>
    <w:rsid w:val="1881795E"/>
    <w:rsid w:val="1ADA2EBB"/>
    <w:rsid w:val="1BFA1D9D"/>
    <w:rsid w:val="1EC17E89"/>
    <w:rsid w:val="207015A8"/>
    <w:rsid w:val="209040CE"/>
    <w:rsid w:val="2131292B"/>
    <w:rsid w:val="21DF2C20"/>
    <w:rsid w:val="23D70531"/>
    <w:rsid w:val="24B048B5"/>
    <w:rsid w:val="2644547A"/>
    <w:rsid w:val="29455155"/>
    <w:rsid w:val="2BAB06C7"/>
    <w:rsid w:val="2BC7079D"/>
    <w:rsid w:val="2D582CC8"/>
    <w:rsid w:val="2DA276B6"/>
    <w:rsid w:val="2F802C27"/>
    <w:rsid w:val="33166511"/>
    <w:rsid w:val="33FD5585"/>
    <w:rsid w:val="3A8171C2"/>
    <w:rsid w:val="3B067532"/>
    <w:rsid w:val="3B6F0FCC"/>
    <w:rsid w:val="3BFC2771"/>
    <w:rsid w:val="3D43098B"/>
    <w:rsid w:val="430E218B"/>
    <w:rsid w:val="432517A4"/>
    <w:rsid w:val="43286146"/>
    <w:rsid w:val="44197A7B"/>
    <w:rsid w:val="4698424A"/>
    <w:rsid w:val="46C9169B"/>
    <w:rsid w:val="47D85110"/>
    <w:rsid w:val="481A01D6"/>
    <w:rsid w:val="4D847755"/>
    <w:rsid w:val="52BF751D"/>
    <w:rsid w:val="52C76533"/>
    <w:rsid w:val="572C6C83"/>
    <w:rsid w:val="5B912493"/>
    <w:rsid w:val="610E4DB3"/>
    <w:rsid w:val="61545577"/>
    <w:rsid w:val="641F6DA4"/>
    <w:rsid w:val="6BA8732E"/>
    <w:rsid w:val="710276A6"/>
    <w:rsid w:val="72705434"/>
    <w:rsid w:val="75BF7CD2"/>
    <w:rsid w:val="78AE5CDF"/>
    <w:rsid w:val="7A8409A6"/>
    <w:rsid w:val="7C245FBF"/>
    <w:rsid w:val="7DCF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2020-08-28T07:31:00Z</dcterms:created>
  <dc:creator>DashVape Simon</dc:creator>
  <cp:lastModifiedBy>将心比心</cp:lastModifiedBy>
  <dcterms:modified xsi:type="dcterms:W3CDTF">2020-08-31T01:46:47Z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