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Theme="minorEastAsia" w:hAnsiTheme="minorEastAsia" w:eastAsiaTheme="minorEastAsia"/>
          <w:b/>
          <w:color w:val="000000" w:themeColor="text1"/>
          <w:sz w:val="28"/>
          <w14:textFill>
            <w14:solidFill>
              <w14:schemeClr w14:val="tx1"/>
            </w14:solidFill>
          </w14:textFill>
        </w:rPr>
      </w:pPr>
      <w:bookmarkStart w:id="0" w:name="_Toc10803"/>
      <w:r>
        <w:rPr>
          <w:rFonts w:hint="eastAsia" w:asciiTheme="minorEastAsia" w:hAnsiTheme="minorEastAsia" w:eastAsiaTheme="minorEastAsia"/>
          <w:b/>
          <w:color w:val="000000" w:themeColor="text1"/>
          <w:sz w:val="28"/>
          <w14:textFill>
            <w14:solidFill>
              <w14:schemeClr w14:val="tx1"/>
            </w14:solidFill>
          </w14:textFill>
        </w:rPr>
        <w:t>第三章  采购需求</w:t>
      </w:r>
      <w:bookmarkEnd w:id="0"/>
    </w:p>
    <w:p>
      <w:pPr>
        <w:spacing w:line="360" w:lineRule="auto"/>
        <w:rPr>
          <w:rFonts w:hint="eastAsia"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前注：</w:t>
      </w:r>
    </w:p>
    <w:p>
      <w:pPr>
        <w:numPr>
          <w:ilvl w:val="0"/>
          <w:numId w:val="1"/>
        </w:num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投标人自行考虑“营改增”税收费用及风险，中标后须按国家相关规定缴纳税金并按招标人要求提供发票，费用含在本次投标总价中，中标后不作调整。</w:t>
      </w:r>
    </w:p>
    <w:p>
      <w:pPr>
        <w:spacing w:line="360" w:lineRule="auto"/>
        <w:ind w:firstLine="55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2、本次投标报价是确保本项目日常物业管理的保底费用。中标人可依据相关政策自行向业主收取合法费用，但不得以任何理由向招标方要求增加任何费用。</w:t>
      </w: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3、如对本招标文件有任何疑问或澄清要求，请按本招标文件“投标人须知前附表”中的约定方式联系</w:t>
      </w:r>
      <w:r>
        <w:rPr>
          <w:rFonts w:hint="eastAsia" w:ascii="宋体" w:hAnsi="宋体" w:eastAsia="宋体" w:cs="Times New Roman"/>
          <w:color w:val="000000" w:themeColor="text1"/>
          <w:sz w:val="24"/>
          <w:szCs w:val="24"/>
          <w:lang w:eastAsia="zh-CN"/>
          <w14:textFill>
            <w14:solidFill>
              <w14:schemeClr w14:val="tx1"/>
            </w14:solidFill>
          </w14:textFill>
        </w:rPr>
        <w:t>安徽洋航项目管理有限公司</w:t>
      </w:r>
      <w:r>
        <w:rPr>
          <w:rFonts w:hint="eastAsia" w:ascii="宋体" w:hAnsi="宋体" w:eastAsia="宋体" w:cs="Times New Roman"/>
          <w:color w:val="000000" w:themeColor="text1"/>
          <w:sz w:val="24"/>
          <w:szCs w:val="24"/>
          <w14:textFill>
            <w14:solidFill>
              <w14:schemeClr w14:val="tx1"/>
            </w14:solidFill>
          </w14:textFill>
        </w:rPr>
        <w:t>，或接受答疑截止时间前联系招标人。否则视同理解和接受。</w:t>
      </w:r>
    </w:p>
    <w:p>
      <w:pPr>
        <w:numPr>
          <w:ilvl w:val="0"/>
          <w:numId w:val="2"/>
        </w:numPr>
        <w:spacing w:line="460" w:lineRule="exact"/>
        <w:ind w:right="2720"/>
        <w:rPr>
          <w:rFonts w:hint="eastAsia" w:ascii="宋体" w:hAnsi="宋体" w:eastAsia="宋体" w:cs="Times New Roman"/>
          <w:color w:val="000000" w:themeColor="text1"/>
          <w:sz w:val="24"/>
          <w14:textFill>
            <w14:solidFill>
              <w14:schemeClr w14:val="tx1"/>
            </w14:solidFill>
          </w14:textFill>
        </w:rPr>
      </w:pPr>
      <w:r>
        <w:rPr>
          <w:rFonts w:ascii="宋体" w:hAnsi="宋体" w:eastAsia="宋体" w:cs="Times New Roman"/>
          <w:b/>
          <w:bCs/>
          <w:color w:val="000000" w:themeColor="text1"/>
          <w:sz w:val="24"/>
          <w14:textFill>
            <w14:solidFill>
              <w14:schemeClr w14:val="tx1"/>
            </w14:solidFill>
          </w14:textFill>
        </w:rPr>
        <w:t>项目简介</w:t>
      </w:r>
      <w:r>
        <w:rPr>
          <w:rFonts w:ascii="宋体" w:hAnsi="宋体" w:eastAsia="宋体" w:cs="Times New Roman"/>
          <w:color w:val="000000" w:themeColor="text1"/>
          <w:sz w:val="24"/>
          <w14:textFill>
            <w14:solidFill>
              <w14:schemeClr w14:val="tx1"/>
            </w14:solidFill>
          </w14:textFill>
        </w:rPr>
        <w:t xml:space="preserve"> </w:t>
      </w:r>
    </w:p>
    <w:p>
      <w:pPr>
        <w:numPr>
          <w:ilvl w:val="0"/>
          <w:numId w:val="0"/>
        </w:numPr>
        <w:spacing w:line="500" w:lineRule="exact"/>
        <w:ind w:firstLine="480" w:firstLineChars="200"/>
        <w:rPr>
          <w:rFonts w:hint="eastAsia" w:ascii="宋体" w:hAnsi="宋体" w:eastAsia="宋体" w:cs="Times New Roman"/>
          <w:b/>
          <w:bCs/>
          <w:color w:val="000000" w:themeColor="text1"/>
          <w:sz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合肥市肥西县观澜学府（观澜华亭二期）小区位于合肥</w:t>
      </w:r>
      <w:r>
        <w:rPr>
          <w:rFonts w:hint="eastAsia" w:ascii="宋体" w:hAnsi="宋体" w:eastAsia="宋体" w:cs="Times New Roman"/>
          <w:color w:val="000000" w:themeColor="text1"/>
          <w:sz w:val="24"/>
          <w:szCs w:val="24"/>
          <w:lang w:val="en-US" w:eastAsia="zh-CN"/>
          <w14:textFill>
            <w14:solidFill>
              <w14:schemeClr w14:val="tx1"/>
            </w14:solidFill>
          </w14:textFill>
        </w:rPr>
        <w:t>肥西县上派镇云谷</w:t>
      </w:r>
      <w:r>
        <w:rPr>
          <w:rFonts w:hint="eastAsia" w:ascii="宋体" w:hAnsi="宋体" w:eastAsia="宋体" w:cs="Times New Roman"/>
          <w:color w:val="000000" w:themeColor="text1"/>
          <w:sz w:val="24"/>
          <w:szCs w:val="24"/>
          <w14:textFill>
            <w14:solidFill>
              <w14:schemeClr w14:val="tx1"/>
            </w14:solidFill>
          </w14:textFill>
        </w:rPr>
        <w:t>路</w:t>
      </w:r>
      <w:r>
        <w:rPr>
          <w:rFonts w:hint="eastAsia" w:ascii="宋体" w:hAnsi="宋体" w:eastAsia="宋体" w:cs="Times New Roman"/>
          <w:color w:val="000000" w:themeColor="text1"/>
          <w:sz w:val="24"/>
          <w:szCs w:val="24"/>
          <w:lang w:val="en-US" w:eastAsia="zh-CN"/>
          <w14:textFill>
            <w14:solidFill>
              <w14:schemeClr w14:val="tx1"/>
            </w14:solidFill>
          </w14:textFill>
        </w:rPr>
        <w:t>与金寨路交叉口</w:t>
      </w:r>
      <w:r>
        <w:rPr>
          <w:rFonts w:hint="eastAsia" w:ascii="宋体" w:hAnsi="宋体" w:eastAsia="宋体" w:cs="Times New Roman"/>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18"/>
          <w:lang w:eastAsia="zh-CN"/>
          <w14:textFill>
            <w14:solidFill>
              <w14:schemeClr w14:val="tx1"/>
            </w14:solidFill>
          </w14:textFill>
        </w:rPr>
        <w:t>项目占地面积</w:t>
      </w:r>
      <w:r>
        <w:rPr>
          <w:rFonts w:hint="eastAsia" w:ascii="宋体" w:hAnsi="宋体" w:eastAsia="宋体"/>
          <w:color w:val="000000" w:themeColor="text1"/>
          <w:sz w:val="24"/>
          <w:szCs w:val="18"/>
          <w:lang w:val="en-US" w:eastAsia="zh-CN"/>
          <w14:textFill>
            <w14:solidFill>
              <w14:schemeClr w14:val="tx1"/>
            </w14:solidFill>
          </w14:textFill>
        </w:rPr>
        <w:t>42094.2</w:t>
      </w:r>
      <w:r>
        <w:rPr>
          <w:rFonts w:hint="eastAsia" w:ascii="宋体" w:hAnsi="宋体" w:eastAsia="宋体"/>
          <w:color w:val="000000" w:themeColor="text1"/>
          <w:sz w:val="24"/>
          <w:szCs w:val="18"/>
          <w:lang w:eastAsia="zh-CN"/>
          <w14:textFill>
            <w14:solidFill>
              <w14:schemeClr w14:val="tx1"/>
            </w14:solidFill>
          </w14:textFill>
        </w:rPr>
        <w:t>平方米，总建筑面积</w:t>
      </w:r>
      <w:r>
        <w:rPr>
          <w:rFonts w:hint="eastAsia" w:ascii="宋体" w:hAnsi="宋体" w:eastAsia="宋体"/>
          <w:color w:val="000000" w:themeColor="text1"/>
          <w:sz w:val="24"/>
          <w:szCs w:val="18"/>
          <w:lang w:val="en-US" w:eastAsia="zh-CN"/>
          <w14:textFill>
            <w14:solidFill>
              <w14:schemeClr w14:val="tx1"/>
            </w14:solidFill>
          </w14:textFill>
        </w:rPr>
        <w:t>179933.6</w:t>
      </w:r>
      <w:r>
        <w:rPr>
          <w:rFonts w:hint="eastAsia" w:ascii="宋体" w:hAnsi="宋体" w:eastAsia="宋体"/>
          <w:color w:val="000000" w:themeColor="text1"/>
          <w:sz w:val="24"/>
          <w:szCs w:val="18"/>
          <w:lang w:eastAsia="zh-CN"/>
          <w14:textFill>
            <w14:solidFill>
              <w14:schemeClr w14:val="tx1"/>
            </w14:solidFill>
          </w14:textFill>
        </w:rPr>
        <w:t>平方米，</w:t>
      </w:r>
      <w:r>
        <w:rPr>
          <w:rFonts w:hint="eastAsia" w:ascii="宋体" w:hAnsi="宋体" w:eastAsia="宋体"/>
          <w:color w:val="000000" w:themeColor="text1"/>
          <w:sz w:val="24"/>
          <w:szCs w:val="18"/>
          <w:lang w:val="en-US" w:eastAsia="zh-CN"/>
          <w14:textFill>
            <w14:solidFill>
              <w14:schemeClr w14:val="tx1"/>
            </w14:solidFill>
          </w14:textFill>
        </w:rPr>
        <w:t>共有10栋楼，</w:t>
      </w:r>
      <w:r>
        <w:rPr>
          <w:rFonts w:hint="eastAsia" w:ascii="宋体" w:hAnsi="宋体" w:eastAsia="宋体"/>
          <w:color w:val="000000" w:themeColor="text1"/>
          <w:sz w:val="24"/>
          <w:szCs w:val="18"/>
          <w:lang w:eastAsia="zh-CN"/>
          <w14:textFill>
            <w14:solidFill>
              <w14:schemeClr w14:val="tx1"/>
            </w14:solidFill>
          </w14:textFill>
        </w:rPr>
        <w:t>其中住宅面积</w:t>
      </w:r>
      <w:r>
        <w:rPr>
          <w:rFonts w:hint="eastAsia" w:ascii="宋体" w:hAnsi="宋体" w:eastAsia="宋体"/>
          <w:color w:val="000000" w:themeColor="text1"/>
          <w:sz w:val="24"/>
          <w:szCs w:val="18"/>
          <w:lang w:val="en-US" w:eastAsia="zh-CN"/>
          <w14:textFill>
            <w14:solidFill>
              <w14:schemeClr w14:val="tx1"/>
            </w14:solidFill>
          </w14:textFill>
        </w:rPr>
        <w:t>135244.2平方米，非住宅面积72544平方米，幼儿园面积985平方米。</w:t>
      </w:r>
      <w:r>
        <w:rPr>
          <w:rFonts w:hint="eastAsia" w:ascii="宋体" w:hAnsi="宋体" w:eastAsia="宋体"/>
          <w:b/>
          <w:bCs/>
          <w:color w:val="000000"/>
          <w:sz w:val="24"/>
          <w:szCs w:val="18"/>
          <w:lang w:val="en-US" w:eastAsia="zh-CN"/>
        </w:rPr>
        <w:t>（以上各类面积具体以实际测量面积为准）</w:t>
      </w:r>
    </w:p>
    <w:p>
      <w:pPr>
        <w:numPr>
          <w:ilvl w:val="0"/>
          <w:numId w:val="3"/>
        </w:numPr>
        <w:spacing w:line="500" w:lineRule="exact"/>
        <w:ind w:left="479" w:leftChars="228"/>
        <w:rPr>
          <w:rFonts w:hint="eastAsia" w:ascii="宋体" w:hAnsi="宋体" w:eastAsia="宋体" w:cs="Times New Roman"/>
          <w:b/>
          <w:bCs/>
          <w:color w:val="000000" w:themeColor="text1"/>
          <w:sz w:val="24"/>
          <w14:textFill>
            <w14:solidFill>
              <w14:schemeClr w14:val="tx1"/>
            </w14:solidFill>
          </w14:textFill>
        </w:rPr>
      </w:pPr>
      <w:r>
        <w:rPr>
          <w:rFonts w:hint="eastAsia" w:ascii="宋体" w:hAnsi="宋体" w:eastAsia="宋体" w:cs="Times New Roman"/>
          <w:b/>
          <w:bCs/>
          <w:color w:val="000000" w:themeColor="text1"/>
          <w:sz w:val="24"/>
          <w14:textFill>
            <w14:solidFill>
              <w14:schemeClr w14:val="tx1"/>
            </w14:solidFill>
          </w14:textFill>
        </w:rPr>
        <w:t>物业管理服务内容</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1、物业管理区域内物业共用部位、共用设施设备的管理及维修养护；</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2、物业管理区域内公共秩序和环境卫生的维护；</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3、物业管理区域内的绿化养护和管理；</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4、物业管理区域内车辆（机动车和非机动车）行驶、停放及场所管理；</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5、供水、供电、供气、电信等专业单位在物业管理区域内对相关管线、设施维修养护时，进行必要的协调和管理；</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6、物业管理区域的日常安全巡查服务；</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7、协助公安部门做好小区治安防范等综合工作，对违章违法行为进行制止并及时报告；</w:t>
      </w:r>
    </w:p>
    <w:p>
      <w:pPr>
        <w:spacing w:line="500" w:lineRule="exact"/>
        <w:ind w:firstLine="480" w:firstLineChars="200"/>
        <w:rPr>
          <w:rFonts w:hint="default"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8、开展社区文化活动，并协助相关部门做好小区文明创建工作；</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9</w:t>
      </w:r>
      <w:r>
        <w:rPr>
          <w:rFonts w:hint="eastAsia" w:ascii="宋体" w:hAnsi="宋体" w:eastAsia="宋体" w:cs="Times New Roman"/>
          <w:color w:val="000000" w:themeColor="text1"/>
          <w:sz w:val="24"/>
          <w:szCs w:val="22"/>
          <w14:textFill>
            <w14:solidFill>
              <w14:schemeClr w14:val="tx1"/>
            </w14:solidFill>
          </w14:textFill>
        </w:rPr>
        <w:t>、物业档案资料的保管及有关物业服务费用的帐务管理；</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10</w:t>
      </w:r>
      <w:r>
        <w:rPr>
          <w:rFonts w:hint="eastAsia" w:ascii="宋体" w:hAnsi="宋体" w:eastAsia="宋体" w:cs="Times New Roman"/>
          <w:color w:val="000000" w:themeColor="text1"/>
          <w:sz w:val="24"/>
          <w:szCs w:val="22"/>
          <w14:textFill>
            <w14:solidFill>
              <w14:schemeClr w14:val="tx1"/>
            </w14:solidFill>
          </w14:textFill>
        </w:rPr>
        <w:t>、物业管理区域内业主、使用人装饰装修物业的服务；</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11</w:t>
      </w:r>
      <w:r>
        <w:rPr>
          <w:rFonts w:hint="eastAsia" w:ascii="宋体" w:hAnsi="宋体" w:eastAsia="宋体" w:cs="Times New Roman"/>
          <w:color w:val="000000" w:themeColor="text1"/>
          <w:sz w:val="24"/>
          <w:szCs w:val="22"/>
          <w14:textFill>
            <w14:solidFill>
              <w14:schemeClr w14:val="tx1"/>
            </w14:solidFill>
          </w14:textFill>
        </w:rPr>
        <w:t>、</w:t>
      </w:r>
      <w:r>
        <w:rPr>
          <w:rFonts w:hint="eastAsia" w:ascii="宋体" w:hAnsi="宋体" w:eastAsia="宋体" w:cs="Times New Roman"/>
          <w:color w:val="000000" w:themeColor="text1"/>
          <w:sz w:val="24"/>
          <w:szCs w:val="22"/>
          <w:lang w:eastAsia="zh-CN"/>
          <w14:textFill>
            <w14:solidFill>
              <w14:schemeClr w14:val="tx1"/>
            </w14:solidFill>
          </w14:textFill>
        </w:rPr>
        <w:t>做好区域的安全防范工作，实行</w:t>
      </w:r>
      <w:r>
        <w:rPr>
          <w:rFonts w:hint="eastAsia" w:ascii="宋体" w:hAnsi="宋体" w:eastAsia="宋体" w:cs="Times New Roman"/>
          <w:color w:val="000000" w:themeColor="text1"/>
          <w:sz w:val="24"/>
          <w:szCs w:val="22"/>
          <w:lang w:val="en-US" w:eastAsia="zh-CN"/>
          <w14:textFill>
            <w14:solidFill>
              <w14:schemeClr w14:val="tx1"/>
            </w14:solidFill>
          </w14:textFill>
        </w:rPr>
        <w:t>24小时值班巡逻制，确保区域内无安全事故、无火灾。做好火灾、治安、公共卫生等突发事件的应急预案，如有突发事件，事件处理及时率100%，并及时报告业主委员会和相关政府主管部门</w:t>
      </w:r>
      <w:r>
        <w:rPr>
          <w:rFonts w:hint="eastAsia" w:ascii="宋体" w:hAnsi="宋体" w:eastAsia="宋体" w:cs="Times New Roman"/>
          <w:color w:val="000000" w:themeColor="text1"/>
          <w:sz w:val="24"/>
          <w:szCs w:val="22"/>
          <w14:textFill>
            <w14:solidFill>
              <w14:schemeClr w14:val="tx1"/>
            </w14:solidFill>
          </w14:textFill>
        </w:rPr>
        <w:t>；</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12、做好来人来访的验证、验物、登记和联系等工作，维护正常次序，及时制止违规违法行为；</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13、指挥区域内的车辆有序停放，确保道路畅通、做好车辆进出管理，未经业主规定的主管部门许可，不得放行外单位车辆进入区域；</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14、负责监控室监控设备的日常操作，值班室内禁止吸烟；</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15、严格执行消防制度，消防值班人员应熟知消防知识，熟练掌握消防器材操作要领，严格执行消防操作规程，保证消防通道畅通，定期检查、记录消防设备的运行状态，确保消防器材正常使用。</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16、雨雪天气及时组织人员铲除道路积雪，确保服务区域安全出行；</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17、物业服务区域的垃圾清理、运输和处置由中标人自行解决。投标前自行勘察；</w:t>
      </w:r>
    </w:p>
    <w:p>
      <w:pPr>
        <w:spacing w:line="500" w:lineRule="exact"/>
        <w:ind w:firstLine="480" w:firstLineChars="200"/>
        <w:rPr>
          <w:rFonts w:hint="eastAsia" w:ascii="宋体" w:hAnsi="宋体" w:eastAsia="宋体" w:cs="Times New Roman"/>
          <w:color w:val="000000"/>
          <w:sz w:val="24"/>
          <w:szCs w:val="22"/>
          <w:lang w:val="en-US" w:eastAsia="zh-CN"/>
        </w:rPr>
      </w:pPr>
      <w:r>
        <w:rPr>
          <w:rFonts w:hint="eastAsia" w:ascii="宋体" w:hAnsi="宋体" w:eastAsia="宋体" w:cs="Times New Roman"/>
          <w:color w:val="000000"/>
          <w:sz w:val="24"/>
          <w:szCs w:val="22"/>
          <w:lang w:val="en-US" w:eastAsia="zh-CN"/>
        </w:rPr>
        <w:t>18、建立会议接待制度，每季度需组织业主委员会召开沟通协调会，针对需改进的环卫、消防、公共区域及绿化养护、安防、车辆管理（非机动车）等问题同业委会沟通协调，采取有效措施进行改善（含具体的提升方案）。原则上每年需向业主委员会报告年度物管工作情况（包括财务收支情况），并提出下一年度工作计划和改善提升方案。</w:t>
      </w:r>
    </w:p>
    <w:p>
      <w:pPr>
        <w:spacing w:line="500" w:lineRule="exact"/>
        <w:ind w:firstLine="480" w:firstLineChars="200"/>
        <w:rPr>
          <w:rFonts w:hint="default" w:ascii="宋体" w:hAnsi="宋体" w:eastAsia="宋体" w:cs="Times New Roman"/>
          <w:color w:val="000000"/>
          <w:sz w:val="24"/>
          <w:szCs w:val="22"/>
          <w:lang w:val="en-US" w:eastAsia="zh-CN"/>
        </w:rPr>
      </w:pPr>
      <w:r>
        <w:rPr>
          <w:rFonts w:hint="eastAsia" w:ascii="宋体" w:hAnsi="宋体" w:eastAsia="宋体" w:cs="Times New Roman"/>
          <w:color w:val="000000"/>
          <w:sz w:val="24"/>
          <w:szCs w:val="22"/>
          <w:lang w:val="en-US" w:eastAsia="zh-CN"/>
        </w:rPr>
        <w:t>19、持续加强对小区的安防管理，制定有针性的管理措施，同时需在服务期内完成小区所有电梯内摄像头安装（已安装可不安装）。</w:t>
      </w:r>
    </w:p>
    <w:p>
      <w:pPr>
        <w:spacing w:line="500" w:lineRule="exact"/>
        <w:ind w:firstLine="480" w:firstLineChars="200"/>
        <w:rPr>
          <w:rFonts w:hint="eastAsia" w:ascii="宋体" w:hAnsi="宋体" w:eastAsia="宋体" w:cs="Times New Roman"/>
          <w:color w:val="000000"/>
          <w:sz w:val="24"/>
          <w:szCs w:val="22"/>
          <w:lang w:val="en-US" w:eastAsia="zh-CN"/>
        </w:rPr>
      </w:pPr>
      <w:r>
        <w:rPr>
          <w:rFonts w:hint="eastAsia" w:ascii="宋体" w:hAnsi="宋体" w:eastAsia="宋体" w:cs="Times New Roman"/>
          <w:color w:val="000000"/>
          <w:sz w:val="24"/>
          <w:szCs w:val="22"/>
          <w:lang w:val="en-US" w:eastAsia="zh-CN"/>
        </w:rPr>
        <w:t>20、及时完成业主方交办的其他工作。</w:t>
      </w:r>
    </w:p>
    <w:p>
      <w:pPr>
        <w:spacing w:line="500" w:lineRule="exact"/>
        <w:ind w:firstLine="482"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b/>
          <w:color w:val="000000" w:themeColor="text1"/>
          <w:sz w:val="24"/>
          <w14:textFill>
            <w14:solidFill>
              <w14:schemeClr w14:val="tx1"/>
            </w14:solidFill>
          </w14:textFill>
        </w:rPr>
        <w:t>三、物业管理服务标准</w:t>
      </w:r>
    </w:p>
    <w:p>
      <w:pPr>
        <w:spacing w:line="500" w:lineRule="exact"/>
        <w:ind w:firstLine="482"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b/>
          <w:color w:val="000000" w:themeColor="text1"/>
          <w:sz w:val="24"/>
          <w14:textFill>
            <w14:solidFill>
              <w14:schemeClr w14:val="tx1"/>
            </w14:solidFill>
          </w14:textFill>
        </w:rPr>
        <w:t>（一）综合管理服务标准：</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1、管理处设置：</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（1）办公区内设置管理处。</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（2）办公场所整洁有序。</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sz w:val="24"/>
        </w:rPr>
        <w:t>（3）配置办公家具、电话、电脑、打印机等办公设施及办公用品。</w:t>
      </w:r>
      <w:r>
        <w:rPr>
          <w:rFonts w:hint="eastAsia" w:ascii="宋体" w:hAnsi="宋体" w:eastAsia="宋体" w:cs="Times New Roman"/>
          <w:color w:val="000000"/>
          <w:sz w:val="24"/>
          <w:lang w:eastAsia="zh-CN"/>
        </w:rPr>
        <w:t>该项由中标单位自行解决，办公用房为小区物业管理用房。</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2、管理人员要求：</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（1）项目经理有全国物业经理上岗证。</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（2）管理人员服装统一、挂牌上岗、仪表整洁规范。</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3、服务时间：</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周一至周日每天行政管理人员8小时在管理处进行业务接待，保障人员24小时值班并提供服务。</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4、日常管理与服务</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（1）服务规范应符合物业管理行业规范要求。</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（2）24小时受理使用人报修。急修10分钟内到现场处理，一般修理一天内完成（预约除外）。</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（3）对使用人的投诉在24小时内答复处理，并书面告之投诉人。</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（4）制定办公区房屋装修申请、审批、巡视、验收等装修管理制度，建立使用人房屋装修档案，对不符合规定的行为、现象及时劝阻、制止或报告有关部门。</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（5）建立健全的财务管理制度，对物业服务费和其它费用的收支进行财务管理，必须按照价格主管部门规定，明码公示。做到运行规范，财目清晰，财务公开。</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（6）建立档案管理制度，建立齐全的办公区物业管理档案[包括物业竣工验收档案、设备管理档案、业主或使用人资料档案（含业主或使用人装修档案）、物业租赁档案、日常管理档案等]。</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（7）制定办公区物业管理与物业服务工作计划，并组织实施。</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（8）制定管理处内部管理制度和考核制度。</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（9）运用计算机进行管理（含业主档案、收费管理、设备管理等）。</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（10）服务窗口应公开办事制度、办事纪律、收费项目和标准。</w:t>
      </w:r>
    </w:p>
    <w:p>
      <w:pPr>
        <w:spacing w:line="500" w:lineRule="exact"/>
        <w:ind w:firstLine="482" w:firstLineChars="200"/>
        <w:rPr>
          <w:rFonts w:hint="eastAsia" w:ascii="宋体" w:hAnsi="宋体" w:eastAsia="宋体" w:cs="Times New Roman"/>
          <w:b/>
          <w:color w:val="000000" w:themeColor="text1"/>
          <w:sz w:val="24"/>
          <w14:textFill>
            <w14:solidFill>
              <w14:schemeClr w14:val="tx1"/>
            </w14:solidFill>
          </w14:textFill>
        </w:rPr>
      </w:pPr>
      <w:r>
        <w:rPr>
          <w:rFonts w:hint="eastAsia" w:ascii="宋体" w:hAnsi="宋体" w:eastAsia="宋体" w:cs="Times New Roman"/>
          <w:b/>
          <w:color w:val="000000" w:themeColor="text1"/>
          <w:sz w:val="24"/>
          <w14:textFill>
            <w14:solidFill>
              <w14:schemeClr w14:val="tx1"/>
            </w14:solidFill>
          </w14:textFill>
        </w:rPr>
        <w:t>（二）公共区域清洁卫生服务标准</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（1）楼内地面和单元楼之间道路：每日清扫一次，保持干净、无灰尘。</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（2）楼梯扶手、栏杆、窗台：每周擦抹一次，保持干净、无灰尘。</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（3）消防栓、指示牌等公共设施：每周擦抹二次，目视无灰尘、无污渍。</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（4）天花板、公共灯具：每月除尘一次，目视干净、无蜘蛛网。</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（5）门、窗等玻璃：每半个月擦拭一次，其中门厅玻璃每周一次，目视洁净、光亮、无灰尘。</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（6）天台、屋顶、保持清洁、无垃圾。</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（7）垃圾收集：按单元楼设置垃圾收集点，每单元设置每日清理二次，收集点周围地面无散落垃圾、无污渍、无异味。</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（8）道路地面、绿地、明沟：地面、绿地每日清扫一次以上（早上八点前），广场砖地面每半月冲洗一次；目视地面干净，地面垃圾应及时清理；明沟每日清扫一次，明沟无杂物、无积水。</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（9）公共灯具、宣传栏、小品等：每周擦抹二次，目视无灰尘、明亮清洁（2米以上部位每半月擦抹、除尘一次）。</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（10）果皮箱、环保垃圾箱、垃圾桶：按规定设置，每日清理二次，擦抹一次，箱（桶）无满溢、无异味、无污迹。</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（11）消毒灭害：每月对窨井、明沟、垃圾房喷洒药水一次，每半年灭鼠一次。</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（12）墙面每年保洁一次，确保美观清洁。</w:t>
      </w:r>
    </w:p>
    <w:p>
      <w:pPr>
        <w:spacing w:line="500" w:lineRule="exact"/>
        <w:ind w:firstLine="482"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b/>
          <w:color w:val="000000" w:themeColor="text1"/>
          <w:sz w:val="24"/>
          <w14:textFill>
            <w14:solidFill>
              <w14:schemeClr w14:val="tx1"/>
            </w14:solidFill>
          </w14:textFill>
        </w:rPr>
        <w:t>（三）小区公共区域秩序维护服务标准</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1、人员要求</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（1）处理和应对小区公共秩序维护工作，能正确使用各类消防、物防、技防器械和设备。</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（2）上岗时佩带统一标志，穿戴统一制服，仪容仪表规范整洁。</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（3）安保人员配备对话装置和其他必备的安全护卫器械。</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2、门岗</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（1）出入口24小时值班看守，并有详细交接记录和外来车辆的登记记录。</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（2）外来人员进入小区，通过询问了解，决定是否放行。</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（3）进出小区的车辆进行管理和疏导，保持出入口环境、有序、道路畅通；对大型物件搬出实行记录。</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3、巡逻岗</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（1）安保人员应按指定的时间和路线至少每小时巡查一次，重点部位应设巡更点。</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（2）警情发生后十分钟内到达现场，协助保护现场，并报告管理处与警方。</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（3）遇到异常情况或住户紧急求助时，五分钟内赶到现场，采取相应措施。</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4、车辆管理</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（1）地面、墙面按车辆道路行驶要求设立指示牌和地标，车辆行驶有规定路线，车辆停放有序。</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（2）专职人员24小时巡视和协助停车事宜。</w:t>
      </w:r>
    </w:p>
    <w:p>
      <w:pPr>
        <w:spacing w:line="500" w:lineRule="exact"/>
        <w:ind w:firstLine="480" w:firstLineChars="200"/>
        <w:textAlignment w:val="baseline"/>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（3）车辆停放有序，地面、墙面按车辆道路行驶要求设立指示牌和地标，照明、消防器械配置齐全，车库场地每日清洁一次，无渗漏，无积水，通风良好，无易燃、易爆及危险物品存放。</w:t>
      </w:r>
    </w:p>
    <w:p>
      <w:pPr>
        <w:spacing w:line="500" w:lineRule="exact"/>
        <w:ind w:firstLine="480" w:firstLineChars="200"/>
        <w:textAlignment w:val="baseline"/>
        <w:rPr>
          <w:rFonts w:hint="eastAsia"/>
        </w:rPr>
      </w:pPr>
      <w:r>
        <w:rPr>
          <w:rFonts w:hint="eastAsia" w:ascii="宋体" w:hAnsi="宋体" w:eastAsia="宋体" w:cs="Times New Roman"/>
          <w:color w:val="000000"/>
          <w:sz w:val="24"/>
          <w:szCs w:val="22"/>
          <w:lang w:eastAsia="zh-CN"/>
        </w:rPr>
        <w:t>（</w:t>
      </w:r>
      <w:r>
        <w:rPr>
          <w:rFonts w:hint="eastAsia" w:ascii="宋体" w:hAnsi="宋体" w:eastAsia="宋体" w:cs="Times New Roman"/>
          <w:color w:val="000000"/>
          <w:sz w:val="24"/>
          <w:szCs w:val="22"/>
          <w:lang w:val="en-US" w:eastAsia="zh-CN"/>
        </w:rPr>
        <w:t>4</w:t>
      </w:r>
      <w:r>
        <w:rPr>
          <w:rFonts w:hint="eastAsia" w:ascii="宋体" w:hAnsi="宋体" w:eastAsia="宋体" w:cs="Times New Roman"/>
          <w:color w:val="000000"/>
          <w:sz w:val="24"/>
          <w:szCs w:val="22"/>
          <w:lang w:eastAsia="zh-CN"/>
        </w:rPr>
        <w:t>）做好非机动车的停放管理，引导业主按规定停车，确保主干道路畅通。</w:t>
      </w:r>
    </w:p>
    <w:p>
      <w:pPr>
        <w:spacing w:line="500" w:lineRule="exact"/>
        <w:ind w:firstLine="482"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b/>
          <w:color w:val="000000" w:themeColor="text1"/>
          <w:sz w:val="24"/>
          <w14:textFill>
            <w14:solidFill>
              <w14:schemeClr w14:val="tx1"/>
            </w14:solidFill>
          </w14:textFill>
        </w:rPr>
        <w:t>（四）小区公共部位、共用设备设施日常运行、养护、维修服务标准</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1、公共部位：</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（1）房屋结构：每年二次以上对房屋结构进行检查，涉及使用安全的部位每季检查一次，并有记录，发现损坏及时安排专项修理并告知相关业主、使用人。</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（2）门窗：每天巡视楼内公共部位门窗，保持玻璃、门窗配件完好，门、窗开闭灵活并无异常声响。</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（3）楼内墙面、顶面、地面：墙面、顶面粉刷层无剥落，面砖、地砖平整不起壳、无缺损。</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4）管道、排水沟、屋顶：每月一次对屋面泄水沟、楼内外排水管道进行清扫、疏通，保障排水畅通（6月至9月每半月检查一次），每半年检查一次屋顶，发现防水层有气臌、碎裂，隔热板有断裂、缺损的，应及时修理。</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（5）围墙：每半月一次巡查围墙，发现损坏立即修复，铁栅栏围墙表面无锈蚀，每年做防腐除锈，刷油漆一次，保持围墙完好。</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（6）道路、场地等：每周一次巡查道路、路面、侧石、井盖等，发现损坏及时修复，保持路面平整、无破损、无积水，侧石平直无缺损。</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（7）休闲椅、凉亭、雕塑、景观小品：每日一次对休闲椅、凉亭、雕塑、景观小品等进行巡查，发现损坏立即修复，保持原有面貌，保证其安全使用。</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（8）安全标志等：对危险部位设置安全防范警示标志，并在主要通道设置安全疏散指示和事故照明设施，每月检查一次，保证标志清晰完整，设施运行正常。</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2、排水系统：</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（1）每年二次对污水处理系统全面维护保养。</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（2）污水处理系统正常运行，周边基本无异味和明显噪声，过滤格栅无堵塞，污水排放符合环保要求。</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3、公共照明：及时修复损坏的灯座、灯泡、开关等，保持灯具完好。</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4、消防设施：维护管理共用消防设施进行, 提供消防安全防范服务</w:t>
      </w:r>
      <w:r>
        <w:rPr>
          <w:rFonts w:hint="eastAsia" w:ascii="宋体" w:hAnsi="宋体" w:eastAsia="宋体" w:cs="Times New Roman"/>
          <w:color w:val="000000" w:themeColor="text1"/>
          <w:sz w:val="24"/>
          <w:szCs w:val="22"/>
          <w:lang w:eastAsia="zh-CN"/>
          <w14:textFill>
            <w14:solidFill>
              <w14:schemeClr w14:val="tx1"/>
            </w14:solidFill>
          </w14:textFill>
        </w:rPr>
        <w:t>，按照上级主管部门要求加强对小区消防设施维保，确保正常使用</w:t>
      </w:r>
      <w:r>
        <w:rPr>
          <w:rFonts w:hint="eastAsia" w:ascii="宋体" w:hAnsi="宋体" w:eastAsia="宋体" w:cs="Times New Roman"/>
          <w:color w:val="000000" w:themeColor="text1"/>
          <w:sz w:val="24"/>
          <w:szCs w:val="22"/>
          <w14:textFill>
            <w14:solidFill>
              <w14:schemeClr w14:val="tx1"/>
            </w14:solidFill>
          </w14:textFill>
        </w:rPr>
        <w:t>。</w:t>
      </w:r>
    </w:p>
    <w:p>
      <w:pPr>
        <w:spacing w:line="500" w:lineRule="exact"/>
        <w:ind w:firstLine="480" w:firstLineChars="200"/>
        <w:rPr>
          <w:rFonts w:hint="eastAsia" w:ascii="宋体" w:hAnsi="宋体" w:eastAsia="宋体" w:cs="Times New Roman"/>
          <w:color w:val="000000" w:themeColor="text1"/>
          <w:sz w:val="24"/>
          <w:szCs w:val="22"/>
          <w:lang w:eastAsia="zh-CN"/>
          <w14:textFill>
            <w14:solidFill>
              <w14:schemeClr w14:val="tx1"/>
            </w14:solidFill>
          </w14:textFill>
        </w:rPr>
      </w:pPr>
      <w:r>
        <w:rPr>
          <w:rFonts w:hint="eastAsia" w:ascii="宋体" w:hAnsi="宋体" w:eastAsia="宋体" w:cs="Times New Roman"/>
          <w:color w:val="000000" w:themeColor="text1"/>
          <w:sz w:val="24"/>
          <w:szCs w:val="22"/>
          <w:lang w:eastAsia="zh-CN"/>
          <w14:textFill>
            <w14:solidFill>
              <w14:schemeClr w14:val="tx1"/>
            </w14:solidFill>
          </w14:textFill>
        </w:rPr>
        <w:t>如果</w:t>
      </w:r>
      <w:r>
        <w:rPr>
          <w:rFonts w:hint="eastAsia" w:ascii="宋体" w:hAnsi="宋体" w:eastAsia="宋体" w:cs="Times New Roman"/>
          <w:color w:val="000000" w:themeColor="text1"/>
          <w:sz w:val="24"/>
          <w:szCs w:val="22"/>
          <w14:textFill>
            <w14:solidFill>
              <w14:schemeClr w14:val="tx1"/>
            </w14:solidFill>
          </w14:textFill>
        </w:rPr>
        <w:t>小区消防设施及系统</w:t>
      </w:r>
      <w:r>
        <w:rPr>
          <w:rFonts w:hint="eastAsia" w:ascii="宋体" w:hAnsi="宋体" w:eastAsia="宋体" w:cs="Times New Roman"/>
          <w:color w:val="000000" w:themeColor="text1"/>
          <w:sz w:val="24"/>
          <w:szCs w:val="22"/>
          <w:lang w:eastAsia="zh-CN"/>
          <w14:textFill>
            <w14:solidFill>
              <w14:schemeClr w14:val="tx1"/>
            </w14:solidFill>
          </w14:textFill>
        </w:rPr>
        <w:t>处于</w:t>
      </w:r>
      <w:r>
        <w:rPr>
          <w:rFonts w:hint="eastAsia" w:ascii="宋体" w:hAnsi="宋体" w:eastAsia="宋体" w:cs="Times New Roman"/>
          <w:color w:val="000000" w:themeColor="text1"/>
          <w:sz w:val="24"/>
          <w:szCs w:val="22"/>
          <w14:textFill>
            <w14:solidFill>
              <w14:schemeClr w14:val="tx1"/>
            </w14:solidFill>
          </w14:textFill>
        </w:rPr>
        <w:t>瘫痪状态，由中标单位</w:t>
      </w:r>
      <w:r>
        <w:rPr>
          <w:rFonts w:hint="eastAsia" w:ascii="宋体" w:hAnsi="宋体" w:eastAsia="宋体" w:cs="Times New Roman"/>
          <w:color w:val="000000" w:themeColor="text1"/>
          <w:sz w:val="24"/>
          <w:szCs w:val="22"/>
          <w:lang w:eastAsia="zh-CN"/>
          <w14:textFill>
            <w14:solidFill>
              <w14:schemeClr w14:val="tx1"/>
            </w14:solidFill>
          </w14:textFill>
        </w:rPr>
        <w:t>可按照法定程序，通过</w:t>
      </w:r>
      <w:r>
        <w:rPr>
          <w:rFonts w:ascii="宋体" w:hAnsi="宋体" w:eastAsia="宋体" w:cs="Times New Roman"/>
          <w:color w:val="000000" w:themeColor="text1"/>
          <w:sz w:val="24"/>
          <w:szCs w:val="22"/>
          <w14:textFill>
            <w14:solidFill>
              <w14:schemeClr w14:val="tx1"/>
            </w14:solidFill>
          </w14:textFill>
        </w:rPr>
        <w:t>《合肥市物业专项维修资金管理暂行规定》</w:t>
      </w:r>
      <w:r>
        <w:rPr>
          <w:rFonts w:hint="eastAsia" w:ascii="宋体" w:hAnsi="宋体" w:eastAsia="宋体" w:cs="Times New Roman"/>
          <w:color w:val="000000" w:themeColor="text1"/>
          <w:sz w:val="24"/>
          <w:szCs w:val="22"/>
          <w14:textFill>
            <w14:solidFill>
              <w14:schemeClr w14:val="tx1"/>
            </w14:solidFill>
          </w14:textFill>
        </w:rPr>
        <w:t>申请维修资金进行更新、改造</w:t>
      </w:r>
      <w:r>
        <w:rPr>
          <w:rFonts w:hint="eastAsia" w:ascii="宋体" w:hAnsi="宋体" w:eastAsia="宋体" w:cs="Times New Roman"/>
          <w:color w:val="000000" w:themeColor="text1"/>
          <w:sz w:val="24"/>
          <w:szCs w:val="22"/>
          <w:lang w:eastAsia="zh-CN"/>
          <w14:textFill>
            <w14:solidFill>
              <w14:schemeClr w14:val="tx1"/>
            </w14:solidFill>
          </w14:textFill>
        </w:rPr>
        <w:t>。</w:t>
      </w:r>
    </w:p>
    <w:p>
      <w:pPr>
        <w:spacing w:line="500" w:lineRule="exact"/>
        <w:ind w:firstLine="482" w:firstLineChars="200"/>
        <w:rPr>
          <w:rFonts w:hint="eastAsia" w:ascii="宋体" w:hAnsi="宋体" w:eastAsia="宋体" w:cs="Times New Roman"/>
          <w:b/>
          <w:bCs/>
          <w:color w:val="000000" w:themeColor="text1"/>
          <w:sz w:val="24"/>
          <w:szCs w:val="22"/>
          <w:lang w:eastAsia="zh-CN"/>
          <w14:textFill>
            <w14:solidFill>
              <w14:schemeClr w14:val="tx1"/>
            </w14:solidFill>
          </w14:textFill>
        </w:rPr>
      </w:pPr>
      <w:r>
        <w:rPr>
          <w:rFonts w:hint="eastAsia" w:ascii="宋体" w:hAnsi="宋体" w:eastAsia="宋体" w:cs="Times New Roman"/>
          <w:b/>
          <w:bCs/>
          <w:color w:val="000000" w:themeColor="text1"/>
          <w:sz w:val="24"/>
          <w:szCs w:val="22"/>
          <w:lang w:eastAsia="zh-CN"/>
          <w14:textFill>
            <w14:solidFill>
              <w14:schemeClr w14:val="tx1"/>
            </w14:solidFill>
          </w14:textFill>
        </w:rPr>
        <w:t>（五）公共绿化养护服务标准</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1、绿地保存率100%，乔、灌、草等保存率98%以上。绿地设施、硬质景观保存良好；</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2、草坪修剪保持平整，草高不超过8cm，每年清除杂草7遍以上，杂草面积不大于5%；常年保证有效供水，有低洼及时整平，基本无积水；按肥力、草种、生长情况及时施肥，每年二遍以上；及时做好病虫害防治；草地生长正常，斑秃黄萎率低于8%-10%。</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3、树木适时中耕除草，做到基本无杂草，土壤疏松；按植物品种、生长情况、土壤条件适时施肥，每年普施基肥不少于一遍，花灌木增施追肥一遍；防治结合；及时灭治，主要病虫害低于5%；树木基本无倾斜；乔灌木生长良好，树冠完整，花灌木按时开花结果；球、篱、地被生长良好，无缺枝、空挡。</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4、每天及时清理绿化产生的垃圾和绿地类垃圾杂物。</w:t>
      </w:r>
    </w:p>
    <w:p>
      <w:pPr>
        <w:spacing w:line="500" w:lineRule="exact"/>
        <w:ind w:firstLine="480" w:firstLineChars="200"/>
        <w:rPr>
          <w:rFonts w:hint="eastAsia"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5、树干涂白时间一般安排在11月上旬-12月中旬，高度保持一致。</w:t>
      </w:r>
    </w:p>
    <w:p>
      <w:pPr>
        <w:spacing w:line="500" w:lineRule="exact"/>
        <w:ind w:firstLine="480" w:firstLineChars="200"/>
        <w:rPr>
          <w:rFonts w:hint="default"/>
          <w:lang w:val="en-US" w:eastAsia="zh-CN"/>
        </w:rPr>
      </w:pPr>
      <w:r>
        <w:rPr>
          <w:rFonts w:hint="eastAsia" w:ascii="宋体" w:hAnsi="宋体" w:eastAsia="宋体" w:cs="Times New Roman"/>
          <w:color w:val="000000"/>
          <w:sz w:val="24"/>
          <w:szCs w:val="22"/>
          <w:lang w:val="en-US" w:eastAsia="zh-CN"/>
        </w:rPr>
        <w:t>6、保障小区公共受损绿化养护必要的投入。</w:t>
      </w:r>
    </w:p>
    <w:p>
      <w:pPr>
        <w:spacing w:line="500" w:lineRule="exact"/>
        <w:ind w:firstLine="482" w:firstLineChars="200"/>
        <w:rPr>
          <w:rFonts w:hint="eastAsia" w:ascii="宋体" w:hAnsi="宋体" w:eastAsia="宋体" w:cs="Times New Roman"/>
          <w:b w:val="0"/>
          <w:bCs w:val="0"/>
          <w:color w:val="000000" w:themeColor="text1"/>
          <w:sz w:val="24"/>
          <w:szCs w:val="22"/>
          <w14:textFill>
            <w14:solidFill>
              <w14:schemeClr w14:val="tx1"/>
            </w14:solidFill>
          </w14:textFill>
        </w:rPr>
      </w:pPr>
      <w:r>
        <w:rPr>
          <w:rFonts w:hint="eastAsia" w:ascii="宋体" w:hAnsi="宋体" w:eastAsia="宋体" w:cs="Times New Roman"/>
          <w:b/>
          <w:bCs/>
          <w:color w:val="000000" w:themeColor="text1"/>
          <w:sz w:val="24"/>
          <w:szCs w:val="22"/>
          <w14:textFill>
            <w14:solidFill>
              <w14:schemeClr w14:val="tx1"/>
            </w14:solidFill>
          </w14:textFill>
        </w:rPr>
        <w:t>（</w:t>
      </w:r>
      <w:r>
        <w:rPr>
          <w:rFonts w:hint="eastAsia" w:ascii="宋体" w:hAnsi="宋体" w:eastAsia="宋体" w:cs="Times New Roman"/>
          <w:b/>
          <w:bCs/>
          <w:color w:val="000000" w:themeColor="text1"/>
          <w:sz w:val="24"/>
          <w:szCs w:val="22"/>
          <w:lang w:eastAsia="zh-CN"/>
          <w14:textFill>
            <w14:solidFill>
              <w14:schemeClr w14:val="tx1"/>
            </w14:solidFill>
          </w14:textFill>
        </w:rPr>
        <w:t>六</w:t>
      </w:r>
      <w:r>
        <w:rPr>
          <w:rFonts w:hint="eastAsia" w:ascii="宋体" w:hAnsi="宋体" w:eastAsia="宋体" w:cs="Times New Roman"/>
          <w:b/>
          <w:bCs/>
          <w:color w:val="000000" w:themeColor="text1"/>
          <w:sz w:val="24"/>
          <w:szCs w:val="22"/>
          <w14:textFill>
            <w14:solidFill>
              <w14:schemeClr w14:val="tx1"/>
            </w14:solidFill>
          </w14:textFill>
        </w:rPr>
        <w:t>）小区装饰装修管理标准</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1、制定严格执行建设部《住宅室内装饰装修管理办法》的具体措施。</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2、有专人负责装饰装修管理工作。</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3、与业主或使用人签订装饰装修服务协议，装饰装修和各种手续齐全。</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4、每天巡查业主或使用人装饰装修的现场，及时发现、劝告和制止违章违规行为。</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5、对已造成事实后果或拒不改正的违章行为，应及时报告有关部门依法处理。</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6、小区内严禁违犯建设部《住宅室内装饰装修管理办法》第五、六、七、八、九条规定的行为。</w:t>
      </w:r>
    </w:p>
    <w:p>
      <w:pPr>
        <w:spacing w:line="50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7、保持小区建筑物外观和小区景观的原始风貌，无严重违章行为。</w:t>
      </w:r>
    </w:p>
    <w:p>
      <w:pPr>
        <w:spacing w:line="500" w:lineRule="exact"/>
        <w:ind w:firstLine="482" w:firstLineChars="200"/>
        <w:rPr>
          <w:rFonts w:hint="eastAsia" w:ascii="宋体" w:hAnsi="宋体" w:eastAsia="宋体" w:cs="Times New Roman"/>
          <w:b/>
          <w:bCs/>
          <w:color w:val="000000" w:themeColor="text1"/>
          <w:sz w:val="24"/>
          <w:szCs w:val="22"/>
          <w:lang w:eastAsia="zh-CN"/>
          <w14:textFill>
            <w14:solidFill>
              <w14:schemeClr w14:val="tx1"/>
            </w14:solidFill>
          </w14:textFill>
        </w:rPr>
      </w:pPr>
      <w:r>
        <w:rPr>
          <w:rFonts w:hint="eastAsia" w:ascii="宋体" w:hAnsi="宋体" w:eastAsia="宋体" w:cs="Times New Roman"/>
          <w:b/>
          <w:bCs/>
          <w:color w:val="000000" w:themeColor="text1"/>
          <w:sz w:val="24"/>
          <w:szCs w:val="22"/>
          <w:lang w:eastAsia="zh-CN"/>
          <w14:textFill>
            <w14:solidFill>
              <w14:schemeClr w14:val="tx1"/>
            </w14:solidFill>
          </w14:textFill>
        </w:rPr>
        <w:t>（七）诚信服务</w:t>
      </w:r>
    </w:p>
    <w:p>
      <w:pPr>
        <w:spacing w:line="500" w:lineRule="exact"/>
        <w:ind w:firstLine="720" w:firstLineChars="300"/>
        <w:rPr>
          <w:rFonts w:hint="default" w:ascii="宋体" w:hAnsi="宋体" w:eastAsia="宋体" w:cs="Times New Roman"/>
          <w:color w:val="000000" w:themeColor="text1"/>
          <w:sz w:val="24"/>
          <w:szCs w:val="22"/>
          <w:lang w:val="en-US" w:eastAsia="zh-CN"/>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中标人诚信服务，服务期内不得有违法违规等不良信用记录行为。</w:t>
      </w:r>
    </w:p>
    <w:p>
      <w:pPr>
        <w:spacing w:line="500" w:lineRule="exact"/>
        <w:ind w:firstLine="482" w:firstLineChars="200"/>
        <w:rPr>
          <w:rFonts w:hint="eastAsia" w:ascii="宋体" w:hAnsi="宋体" w:eastAsia="宋体" w:cs="Times New Roman"/>
          <w:b/>
          <w:bCs/>
          <w:color w:val="000000" w:themeColor="text1"/>
          <w:sz w:val="24"/>
          <w14:textFill>
            <w14:solidFill>
              <w14:schemeClr w14:val="tx1"/>
            </w14:solidFill>
          </w14:textFill>
        </w:rPr>
      </w:pPr>
      <w:r>
        <w:rPr>
          <w:rFonts w:hint="eastAsia" w:ascii="宋体" w:hAnsi="宋体" w:eastAsia="宋体" w:cs="Times New Roman"/>
          <w:b/>
          <w:bCs/>
          <w:color w:val="000000" w:themeColor="text1"/>
          <w:sz w:val="24"/>
          <w14:textFill>
            <w14:solidFill>
              <w14:schemeClr w14:val="tx1"/>
            </w14:solidFill>
          </w14:textFill>
        </w:rPr>
        <w:t>四：人员配置要求</w:t>
      </w:r>
    </w:p>
    <w:p>
      <w:pPr>
        <w:spacing w:line="500" w:lineRule="exact"/>
        <w:ind w:firstLine="480" w:firstLineChars="200"/>
        <w:rPr>
          <w:rFonts w:hint="eastAsia" w:ascii="宋体" w:hAnsi="宋体" w:eastAsia="宋体" w:cs="Times New Roman"/>
          <w:color w:val="000000" w:themeColor="text1"/>
          <w:sz w:val="24"/>
          <w:szCs w:val="22"/>
          <w:lang w:eastAsia="zh-CN"/>
          <w14:textFill>
            <w14:solidFill>
              <w14:schemeClr w14:val="tx1"/>
            </w14:solidFill>
          </w14:textFill>
        </w:rPr>
      </w:pPr>
      <w:r>
        <w:rPr>
          <w:rFonts w:hint="eastAsia" w:ascii="宋体" w:hAnsi="宋体" w:eastAsia="宋体" w:cs="Times New Roman"/>
          <w:color w:val="000000" w:themeColor="text1"/>
          <w:sz w:val="24"/>
          <w:szCs w:val="22"/>
          <w14:textFill>
            <w14:solidFill>
              <w14:schemeClr w14:val="tx1"/>
            </w14:solidFill>
          </w14:textFill>
        </w:rPr>
        <w:t>本项目配置的物业管理人员至少应包括项目经理、</w:t>
      </w:r>
      <w:r>
        <w:rPr>
          <w:rFonts w:hint="eastAsia" w:ascii="宋体" w:hAnsi="宋体" w:eastAsia="宋体" w:cs="Times New Roman"/>
          <w:color w:val="000000" w:themeColor="text1"/>
          <w:sz w:val="24"/>
          <w:szCs w:val="22"/>
          <w:lang w:eastAsia="zh-CN"/>
          <w14:textFill>
            <w14:solidFill>
              <w14:schemeClr w14:val="tx1"/>
            </w14:solidFill>
          </w14:textFill>
        </w:rPr>
        <w:t>综合主管</w:t>
      </w:r>
      <w:r>
        <w:rPr>
          <w:rFonts w:hint="eastAsia" w:ascii="宋体" w:hAnsi="宋体" w:eastAsia="宋体" w:cs="Times New Roman"/>
          <w:color w:val="000000" w:themeColor="text1"/>
          <w:sz w:val="24"/>
          <w:szCs w:val="22"/>
          <w14:textFill>
            <w14:solidFill>
              <w14:schemeClr w14:val="tx1"/>
            </w14:solidFill>
          </w14:textFill>
        </w:rPr>
        <w:t>、</w:t>
      </w:r>
      <w:r>
        <w:rPr>
          <w:rFonts w:hint="eastAsia" w:ascii="宋体" w:hAnsi="宋体" w:eastAsia="宋体" w:cs="Times New Roman"/>
          <w:color w:val="000000" w:themeColor="text1"/>
          <w:sz w:val="24"/>
          <w:szCs w:val="22"/>
          <w:lang w:eastAsia="zh-CN"/>
          <w14:textFill>
            <w14:solidFill>
              <w14:schemeClr w14:val="tx1"/>
            </w14:solidFill>
          </w14:textFill>
        </w:rPr>
        <w:t>工程主管</w:t>
      </w:r>
      <w:r>
        <w:rPr>
          <w:rFonts w:hint="eastAsia" w:ascii="宋体" w:hAnsi="宋体" w:eastAsia="宋体" w:cs="Times New Roman"/>
          <w:color w:val="000000" w:themeColor="text1"/>
          <w:sz w:val="24"/>
          <w:szCs w:val="22"/>
          <w14:textFill>
            <w14:solidFill>
              <w14:schemeClr w14:val="tx1"/>
            </w14:solidFill>
          </w14:textFill>
        </w:rPr>
        <w:t>等管理人员及若干名维修</w:t>
      </w:r>
      <w:r>
        <w:rPr>
          <w:rFonts w:hint="eastAsia" w:ascii="宋体" w:hAnsi="宋体" w:eastAsia="宋体" w:cs="Times New Roman"/>
          <w:color w:val="000000" w:themeColor="text1"/>
          <w:sz w:val="24"/>
          <w:szCs w:val="22"/>
          <w:lang w:eastAsia="zh-CN"/>
          <w14:textFill>
            <w14:solidFill>
              <w14:schemeClr w14:val="tx1"/>
            </w14:solidFill>
          </w14:textFill>
        </w:rPr>
        <w:t>人员</w:t>
      </w:r>
      <w:r>
        <w:rPr>
          <w:rFonts w:hint="eastAsia" w:ascii="宋体" w:hAnsi="宋体" w:eastAsia="宋体" w:cs="Times New Roman"/>
          <w:color w:val="000000" w:themeColor="text1"/>
          <w:sz w:val="24"/>
          <w:szCs w:val="22"/>
          <w14:textFill>
            <w14:solidFill>
              <w14:schemeClr w14:val="tx1"/>
            </w14:solidFill>
          </w14:textFill>
        </w:rPr>
        <w:t>、保安员、保洁员等工作人员，总人数不得少于</w:t>
      </w:r>
      <w:r>
        <w:rPr>
          <w:rFonts w:hint="eastAsia" w:ascii="宋体" w:hAnsi="宋体" w:eastAsia="宋体" w:cs="Times New Roman"/>
          <w:color w:val="000000" w:themeColor="text1"/>
          <w:sz w:val="24"/>
          <w:szCs w:val="22"/>
          <w:lang w:val="en-US" w:eastAsia="zh-CN"/>
          <w14:textFill>
            <w14:solidFill>
              <w14:schemeClr w14:val="tx1"/>
            </w14:solidFill>
          </w14:textFill>
        </w:rPr>
        <w:t>45</w:t>
      </w:r>
      <w:r>
        <w:rPr>
          <w:rFonts w:hint="eastAsia" w:ascii="宋体" w:hAnsi="宋体" w:eastAsia="宋体" w:cs="Times New Roman"/>
          <w:color w:val="000000" w:themeColor="text1"/>
          <w:sz w:val="24"/>
          <w:szCs w:val="22"/>
          <w14:textFill>
            <w14:solidFill>
              <w14:schemeClr w14:val="tx1"/>
            </w14:solidFill>
          </w14:textFill>
        </w:rPr>
        <w:t>人，其中管理人员、技术人员均必须持有相应的上岗资格证，大专以上文化，年龄在50岁以下；保安及保洁年龄在55岁以下，无违法犯罪记录，初中以上文化程度，身体健康，品行端正。</w:t>
      </w:r>
    </w:p>
    <w:p>
      <w:pPr>
        <w:spacing w:line="500" w:lineRule="exact"/>
        <w:ind w:firstLine="482" w:firstLineChars="200"/>
        <w:rPr>
          <w:rFonts w:hint="eastAsia" w:ascii="宋体" w:hAnsi="宋体" w:eastAsia="宋体" w:cs="Times New Roman"/>
          <w:b/>
          <w:bCs/>
          <w:color w:val="000000" w:themeColor="text1"/>
          <w:sz w:val="24"/>
          <w14:textFill>
            <w14:solidFill>
              <w14:schemeClr w14:val="tx1"/>
            </w14:solidFill>
          </w14:textFill>
        </w:rPr>
      </w:pPr>
      <w:r>
        <w:rPr>
          <w:rFonts w:hint="eastAsia" w:ascii="宋体" w:hAnsi="宋体" w:eastAsia="宋体" w:cs="Times New Roman"/>
          <w:b/>
          <w:bCs/>
          <w:color w:val="000000" w:themeColor="text1"/>
          <w:sz w:val="24"/>
          <w14:textFill>
            <w14:solidFill>
              <w14:schemeClr w14:val="tx1"/>
            </w14:solidFill>
          </w14:textFill>
        </w:rPr>
        <w:t>五、投标报价要求</w:t>
      </w:r>
    </w:p>
    <w:p>
      <w:pPr>
        <w:spacing w:line="500" w:lineRule="exact"/>
        <w:ind w:firstLine="480" w:firstLineChars="200"/>
        <w:rPr>
          <w:rFonts w:hint="eastAsia" w:ascii="宋体" w:hAnsi="宋体" w:eastAsia="宋体" w:cs="Times New Roman"/>
          <w:color w:val="000000" w:themeColor="text1"/>
          <w:sz w:val="24"/>
          <w:lang w:eastAsia="zh-CN"/>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1、</w:t>
      </w:r>
      <w:r>
        <w:rPr>
          <w:rFonts w:hint="eastAsia" w:ascii="宋体" w:hAnsi="宋体" w:eastAsia="宋体" w:cs="Times New Roman"/>
          <w:color w:val="000000" w:themeColor="text1"/>
          <w:sz w:val="24"/>
          <w:lang w:eastAsia="zh-CN"/>
          <w14:textFill>
            <w14:solidFill>
              <w14:schemeClr w14:val="tx1"/>
            </w14:solidFill>
          </w14:textFill>
        </w:rPr>
        <w:t>投标分项报价表：</w:t>
      </w:r>
    </w:p>
    <w:tbl>
      <w:tblPr>
        <w:tblStyle w:val="6"/>
        <w:tblpPr w:leftFromText="180" w:rightFromText="180" w:vertAnchor="text" w:horzAnchor="page" w:tblpX="1862" w:tblpY="9"/>
        <w:tblOverlap w:val="never"/>
        <w:tblW w:w="92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1395"/>
        <w:gridCol w:w="1395"/>
        <w:gridCol w:w="2070"/>
        <w:gridCol w:w="1545"/>
        <w:gridCol w:w="1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095" w:type="dxa"/>
            <w:vAlign w:val="center"/>
          </w:tcPr>
          <w:p>
            <w:pPr>
              <w:pStyle w:val="2"/>
              <w:ind w:left="0" w:leftChars="0" w:firstLine="0" w:firstLineChars="0"/>
              <w:jc w:val="center"/>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序号</w:t>
            </w:r>
          </w:p>
        </w:tc>
        <w:tc>
          <w:tcPr>
            <w:tcW w:w="1395" w:type="dxa"/>
            <w:vAlign w:val="center"/>
          </w:tcPr>
          <w:p>
            <w:pPr>
              <w:pStyle w:val="2"/>
              <w:ind w:left="0" w:leftChars="0" w:firstLine="0" w:firstLineChars="0"/>
              <w:jc w:val="center"/>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用途类型</w:t>
            </w:r>
          </w:p>
        </w:tc>
        <w:tc>
          <w:tcPr>
            <w:tcW w:w="1395" w:type="dxa"/>
            <w:vAlign w:val="center"/>
          </w:tcPr>
          <w:p>
            <w:pPr>
              <w:pStyle w:val="2"/>
              <w:ind w:left="0" w:leftChars="0" w:firstLine="0" w:firstLineChars="0"/>
              <w:jc w:val="center"/>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面积</w:t>
            </w:r>
          </w:p>
          <w:p>
            <w:pPr>
              <w:pStyle w:val="2"/>
              <w:ind w:left="0" w:leftChars="0" w:firstLine="0" w:firstLineChars="0"/>
              <w:jc w:val="center"/>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（平方米）</w:t>
            </w:r>
          </w:p>
        </w:tc>
        <w:tc>
          <w:tcPr>
            <w:tcW w:w="2070" w:type="dxa"/>
            <w:vAlign w:val="center"/>
          </w:tcPr>
          <w:p>
            <w:pPr>
              <w:pStyle w:val="2"/>
              <w:ind w:left="0" w:leftChars="0" w:firstLine="0" w:firstLineChars="0"/>
              <w:jc w:val="center"/>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单价</w:t>
            </w:r>
          </w:p>
          <w:p>
            <w:pPr>
              <w:pStyle w:val="2"/>
              <w:ind w:left="0" w:leftChars="0" w:firstLine="0" w:firstLineChars="0"/>
              <w:jc w:val="center"/>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（元</w:t>
            </w:r>
            <w:r>
              <w:rPr>
                <w:rFonts w:hint="eastAsia" w:ascii="宋体" w:hAnsi="宋体" w:eastAsia="宋体" w:cs="Times New Roman"/>
                <w:color w:val="000000" w:themeColor="text1"/>
                <w:sz w:val="24"/>
                <w:vertAlign w:val="baseline"/>
                <w:lang w:val="en-US" w:eastAsia="zh-CN"/>
                <w14:textFill>
                  <w14:solidFill>
                    <w14:schemeClr w14:val="tx1"/>
                  </w14:solidFill>
                </w14:textFill>
              </w:rPr>
              <w:t>/平方米/月</w:t>
            </w:r>
            <w:r>
              <w:rPr>
                <w:rFonts w:hint="eastAsia" w:ascii="宋体" w:hAnsi="宋体" w:eastAsia="宋体" w:cs="Times New Roman"/>
                <w:color w:val="000000" w:themeColor="text1"/>
                <w:sz w:val="24"/>
                <w:vertAlign w:val="baseline"/>
                <w:lang w:eastAsia="zh-CN"/>
                <w14:textFill>
                  <w14:solidFill>
                    <w14:schemeClr w14:val="tx1"/>
                  </w14:solidFill>
                </w14:textFill>
              </w:rPr>
              <w:t>）</w:t>
            </w:r>
          </w:p>
        </w:tc>
        <w:tc>
          <w:tcPr>
            <w:tcW w:w="1545" w:type="dxa"/>
            <w:vAlign w:val="center"/>
          </w:tcPr>
          <w:p>
            <w:pPr>
              <w:pStyle w:val="2"/>
              <w:ind w:left="0" w:leftChars="0" w:firstLine="0" w:firstLineChars="0"/>
              <w:jc w:val="both"/>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合计（元</w:t>
            </w:r>
            <w:r>
              <w:rPr>
                <w:rFonts w:hint="eastAsia" w:eastAsia="宋体" w:cs="Times New Roman"/>
                <w:color w:val="000000" w:themeColor="text1"/>
                <w:sz w:val="24"/>
                <w:vertAlign w:val="baseline"/>
                <w:lang w:val="en-US" w:eastAsia="zh-CN"/>
                <w14:textFill>
                  <w14:solidFill>
                    <w14:schemeClr w14:val="tx1"/>
                  </w14:solidFill>
                </w14:textFill>
              </w:rPr>
              <w:t>/月</w:t>
            </w:r>
            <w:r>
              <w:rPr>
                <w:rFonts w:hint="eastAsia" w:ascii="宋体" w:hAnsi="宋体" w:eastAsia="宋体" w:cs="Times New Roman"/>
                <w:color w:val="000000" w:themeColor="text1"/>
                <w:sz w:val="24"/>
                <w:vertAlign w:val="baseline"/>
                <w:lang w:eastAsia="zh-CN"/>
                <w14:textFill>
                  <w14:solidFill>
                    <w14:schemeClr w14:val="tx1"/>
                  </w14:solidFill>
                </w14:textFill>
              </w:rPr>
              <w:t>）</w:t>
            </w:r>
          </w:p>
        </w:tc>
        <w:tc>
          <w:tcPr>
            <w:tcW w:w="1761"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eastAsia="宋体" w:cs="Times New Roman"/>
                <w:color w:val="000000" w:themeColor="text1"/>
                <w:sz w:val="24"/>
                <w:vertAlign w:val="baseline"/>
                <w:lang w:eastAsia="zh-CN"/>
                <w14:textFill>
                  <w14:solidFill>
                    <w14:schemeClr w14:val="tx1"/>
                  </w14:solidFill>
                </w14:textFill>
              </w:rPr>
              <w:t>合计</w:t>
            </w:r>
            <w:r>
              <w:rPr>
                <w:rFonts w:hint="eastAsia" w:eastAsia="宋体" w:cs="Times New Roman"/>
                <w:color w:val="000000" w:themeColor="text1"/>
                <w:sz w:val="24"/>
                <w:vertAlign w:val="baseline"/>
                <w:lang w:val="en-US" w:eastAsia="zh-CN"/>
                <w14:textFill>
                  <w14:solidFill>
                    <w14:schemeClr w14:val="tx1"/>
                  </w14:solidFill>
                </w14:textFill>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095" w:type="dxa"/>
            <w:vAlign w:val="center"/>
          </w:tcPr>
          <w:p>
            <w:pPr>
              <w:pStyle w:val="2"/>
              <w:ind w:left="0" w:leftChars="0" w:firstLine="0" w:firstLineChars="0"/>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1</w:t>
            </w:r>
          </w:p>
        </w:tc>
        <w:tc>
          <w:tcPr>
            <w:tcW w:w="1395" w:type="dxa"/>
            <w:vAlign w:val="center"/>
          </w:tcPr>
          <w:p>
            <w:pPr>
              <w:pStyle w:val="2"/>
              <w:ind w:left="0" w:leftChars="0" w:firstLine="240" w:firstLineChars="10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住宅</w:t>
            </w:r>
          </w:p>
        </w:tc>
        <w:tc>
          <w:tcPr>
            <w:tcW w:w="139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139788.7</w:t>
            </w:r>
          </w:p>
        </w:tc>
        <w:tc>
          <w:tcPr>
            <w:tcW w:w="2070" w:type="dxa"/>
            <w:vAlign w:val="center"/>
          </w:tcPr>
          <w:p>
            <w:pPr>
              <w:pStyle w:val="2"/>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1.25</w:t>
            </w:r>
          </w:p>
        </w:tc>
        <w:tc>
          <w:tcPr>
            <w:tcW w:w="154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174735.88</w:t>
            </w:r>
          </w:p>
        </w:tc>
        <w:tc>
          <w:tcPr>
            <w:tcW w:w="1761"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2096830.56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5" w:type="dxa"/>
            <w:vAlign w:val="center"/>
          </w:tcPr>
          <w:p>
            <w:pPr>
              <w:pStyle w:val="2"/>
              <w:ind w:left="0" w:leftChars="0" w:firstLine="0" w:firstLineChars="0"/>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w:t>
            </w:r>
          </w:p>
        </w:tc>
        <w:tc>
          <w:tcPr>
            <w:tcW w:w="1395" w:type="dxa"/>
            <w:vAlign w:val="center"/>
          </w:tcPr>
          <w:p>
            <w:pPr>
              <w:pStyle w:val="2"/>
              <w:ind w:left="0" w:leftChars="0" w:firstLine="240" w:firstLineChars="100"/>
              <w:jc w:val="both"/>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商业（</w:t>
            </w:r>
            <w:r>
              <w:rPr>
                <w:rFonts w:hint="eastAsia" w:ascii="宋体" w:hAnsi="宋体" w:eastAsia="宋体" w:cs="Times New Roman"/>
                <w:color w:val="000000" w:themeColor="text1"/>
                <w:sz w:val="24"/>
                <w:vertAlign w:val="baseline"/>
                <w:lang w:val="en-US" w:eastAsia="zh-CN"/>
                <w14:textFill>
                  <w14:solidFill>
                    <w14:schemeClr w14:val="tx1"/>
                  </w14:solidFill>
                </w14:textFill>
              </w:rPr>
              <w:t>1</w:t>
            </w:r>
            <w:r>
              <w:rPr>
                <w:rFonts w:hint="eastAsia" w:ascii="宋体" w:hAnsi="宋体" w:eastAsia="宋体" w:cs="Times New Roman"/>
                <w:color w:val="000000" w:themeColor="text1"/>
                <w:sz w:val="24"/>
                <w:vertAlign w:val="baseline"/>
                <w:lang w:eastAsia="zh-CN"/>
                <w14:textFill>
                  <w14:solidFill>
                    <w14:schemeClr w14:val="tx1"/>
                  </w14:solidFill>
                </w14:textFill>
              </w:rPr>
              <w:t>）</w:t>
            </w:r>
          </w:p>
        </w:tc>
        <w:tc>
          <w:tcPr>
            <w:tcW w:w="139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7171.63</w:t>
            </w:r>
          </w:p>
        </w:tc>
        <w:tc>
          <w:tcPr>
            <w:tcW w:w="2070" w:type="dxa"/>
            <w:vAlign w:val="center"/>
          </w:tcPr>
          <w:p>
            <w:pPr>
              <w:pStyle w:val="2"/>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3.00</w:t>
            </w:r>
          </w:p>
        </w:tc>
        <w:tc>
          <w:tcPr>
            <w:tcW w:w="154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21514.89</w:t>
            </w:r>
          </w:p>
        </w:tc>
        <w:tc>
          <w:tcPr>
            <w:tcW w:w="1761"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258178.68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5" w:type="dxa"/>
            <w:vAlign w:val="center"/>
          </w:tcPr>
          <w:p>
            <w:pPr>
              <w:pStyle w:val="2"/>
              <w:ind w:left="0" w:leftChars="0" w:firstLine="0" w:firstLineChars="0"/>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3</w:t>
            </w:r>
          </w:p>
        </w:tc>
        <w:tc>
          <w:tcPr>
            <w:tcW w:w="1395" w:type="dxa"/>
            <w:vAlign w:val="center"/>
          </w:tcPr>
          <w:p>
            <w:pPr>
              <w:pStyle w:val="2"/>
              <w:ind w:left="0" w:leftChars="0" w:firstLine="240" w:firstLineChars="100"/>
              <w:jc w:val="both"/>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商业（</w:t>
            </w:r>
            <w:r>
              <w:rPr>
                <w:rFonts w:hint="eastAsia" w:eastAsia="宋体" w:cs="Times New Roman"/>
                <w:color w:val="000000" w:themeColor="text1"/>
                <w:sz w:val="24"/>
                <w:vertAlign w:val="baseline"/>
                <w:lang w:val="en-US" w:eastAsia="zh-CN"/>
                <w14:textFill>
                  <w14:solidFill>
                    <w14:schemeClr w14:val="tx1"/>
                  </w14:solidFill>
                </w14:textFill>
              </w:rPr>
              <w:t>2）</w:t>
            </w:r>
          </w:p>
        </w:tc>
        <w:tc>
          <w:tcPr>
            <w:tcW w:w="139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742.5</w:t>
            </w:r>
          </w:p>
        </w:tc>
        <w:tc>
          <w:tcPr>
            <w:tcW w:w="2070" w:type="dxa"/>
            <w:vAlign w:val="center"/>
          </w:tcPr>
          <w:p>
            <w:pPr>
              <w:pStyle w:val="2"/>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2.00</w:t>
            </w:r>
          </w:p>
        </w:tc>
        <w:tc>
          <w:tcPr>
            <w:tcW w:w="154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1485.00</w:t>
            </w:r>
          </w:p>
        </w:tc>
        <w:tc>
          <w:tcPr>
            <w:tcW w:w="1761"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17820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5" w:type="dxa"/>
            <w:vAlign w:val="center"/>
          </w:tcPr>
          <w:p>
            <w:pPr>
              <w:pStyle w:val="2"/>
              <w:ind w:left="0" w:leftChars="0" w:firstLine="0" w:firstLineChars="0"/>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4</w:t>
            </w:r>
          </w:p>
        </w:tc>
        <w:tc>
          <w:tcPr>
            <w:tcW w:w="1395" w:type="dxa"/>
            <w:vAlign w:val="center"/>
          </w:tcPr>
          <w:p>
            <w:pPr>
              <w:pStyle w:val="2"/>
              <w:ind w:left="0" w:leftChars="0" w:firstLine="240" w:firstLineChars="100"/>
              <w:jc w:val="both"/>
              <w:rPr>
                <w:rFonts w:hint="eastAsia" w:ascii="宋体" w:hAnsi="宋体" w:eastAsia="宋体" w:cs="Times New Roman"/>
                <w:color w:val="000000" w:themeColor="text1"/>
                <w:sz w:val="24"/>
                <w:vertAlign w:val="baseline"/>
                <w:lang w:eastAsia="zh-CN"/>
                <w14:textFill>
                  <w14:solidFill>
                    <w14:schemeClr w14:val="tx1"/>
                  </w14:solidFill>
                </w14:textFill>
              </w:rPr>
            </w:pPr>
            <w:r>
              <w:rPr>
                <w:rFonts w:hint="eastAsia" w:ascii="宋体" w:hAnsi="宋体" w:eastAsia="宋体" w:cs="Times New Roman"/>
                <w:color w:val="000000" w:themeColor="text1"/>
                <w:sz w:val="24"/>
                <w:vertAlign w:val="baseline"/>
                <w:lang w:eastAsia="zh-CN"/>
                <w14:textFill>
                  <w14:solidFill>
                    <w14:schemeClr w14:val="tx1"/>
                  </w14:solidFill>
                </w14:textFill>
              </w:rPr>
              <w:t>商业（</w:t>
            </w:r>
            <w:r>
              <w:rPr>
                <w:rFonts w:hint="eastAsia" w:eastAsia="宋体" w:cs="Times New Roman"/>
                <w:color w:val="000000" w:themeColor="text1"/>
                <w:sz w:val="24"/>
                <w:vertAlign w:val="baseline"/>
                <w:lang w:val="en-US" w:eastAsia="zh-CN"/>
                <w14:textFill>
                  <w14:solidFill>
                    <w14:schemeClr w14:val="tx1"/>
                  </w14:solidFill>
                </w14:textFill>
              </w:rPr>
              <w:t>3）</w:t>
            </w:r>
          </w:p>
        </w:tc>
        <w:tc>
          <w:tcPr>
            <w:tcW w:w="139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13909.36</w:t>
            </w:r>
          </w:p>
        </w:tc>
        <w:tc>
          <w:tcPr>
            <w:tcW w:w="2070" w:type="dxa"/>
            <w:vAlign w:val="center"/>
          </w:tcPr>
          <w:p>
            <w:pPr>
              <w:pStyle w:val="2"/>
              <w:ind w:firstLine="480" w:firstLineChars="200"/>
              <w:jc w:val="center"/>
              <w:rPr>
                <w:rFonts w:hint="default" w:ascii="宋体" w:hAnsi="宋体" w:eastAsia="宋体" w:cs="Times New Roman"/>
                <w:color w:val="000000" w:themeColor="text1"/>
                <w:kern w:val="2"/>
                <w:sz w:val="24"/>
                <w:vertAlign w:val="baseline"/>
                <w:lang w:val="en-US" w:eastAsia="zh-CN" w:bidi="ar-SA"/>
                <w14:textFill>
                  <w14:solidFill>
                    <w14:schemeClr w14:val="tx1"/>
                  </w14:solidFill>
                </w14:textFill>
              </w:rPr>
            </w:pPr>
            <w:r>
              <w:rPr>
                <w:rFonts w:hint="eastAsia" w:eastAsia="宋体" w:cs="Times New Roman"/>
                <w:color w:val="000000" w:themeColor="text1"/>
                <w:kern w:val="2"/>
                <w:sz w:val="24"/>
                <w:vertAlign w:val="baseline"/>
                <w:lang w:val="en-US" w:eastAsia="zh-CN" w:bidi="ar-SA"/>
                <w14:textFill>
                  <w14:solidFill>
                    <w14:schemeClr w14:val="tx1"/>
                  </w14:solidFill>
                </w14:textFill>
              </w:rPr>
              <w:t>1.50</w:t>
            </w:r>
          </w:p>
        </w:tc>
        <w:tc>
          <w:tcPr>
            <w:tcW w:w="1545"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20864.04</w:t>
            </w:r>
          </w:p>
        </w:tc>
        <w:tc>
          <w:tcPr>
            <w:tcW w:w="1761"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250368.48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95" w:type="dxa"/>
            <w:vAlign w:val="center"/>
          </w:tcPr>
          <w:p>
            <w:pPr>
              <w:pStyle w:val="2"/>
              <w:ind w:left="0" w:leftChars="0" w:firstLine="0" w:firstLineChars="0"/>
              <w:jc w:val="center"/>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总价</w:t>
            </w:r>
          </w:p>
        </w:tc>
        <w:tc>
          <w:tcPr>
            <w:tcW w:w="6405" w:type="dxa"/>
            <w:gridSpan w:val="4"/>
            <w:vAlign w:val="center"/>
          </w:tcPr>
          <w:p>
            <w:pPr>
              <w:pStyle w:val="2"/>
              <w:jc w:val="center"/>
              <w:rPr>
                <w:rFonts w:hint="eastAsia" w:ascii="宋体" w:hAnsi="宋体" w:eastAsia="宋体" w:cs="Times New Roman"/>
                <w:color w:val="000000" w:themeColor="text1"/>
                <w:sz w:val="24"/>
                <w:vertAlign w:val="baseline"/>
                <w:lang w:eastAsia="zh-CN"/>
                <w14:textFill>
                  <w14:solidFill>
                    <w14:schemeClr w14:val="tx1"/>
                  </w14:solidFill>
                </w14:textFill>
              </w:rPr>
            </w:pPr>
          </w:p>
        </w:tc>
        <w:tc>
          <w:tcPr>
            <w:tcW w:w="1761" w:type="dxa"/>
            <w:vAlign w:val="center"/>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2623197.72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9261" w:type="dxa"/>
            <w:gridSpan w:val="6"/>
            <w:vAlign w:val="top"/>
          </w:tcPr>
          <w:p>
            <w:pPr>
              <w:pStyle w:val="2"/>
              <w:ind w:left="0" w:leftChars="0" w:firstLine="0" w:firstLineChars="0"/>
              <w:jc w:val="both"/>
              <w:rPr>
                <w:rFonts w:hint="default" w:ascii="宋体" w:hAnsi="宋体" w:eastAsia="宋体" w:cs="Times New Roman"/>
                <w:color w:val="000000" w:themeColor="text1"/>
                <w:sz w:val="24"/>
                <w:vertAlign w:val="baseline"/>
                <w:lang w:val="en-US" w:eastAsia="zh-CN"/>
                <w14:textFill>
                  <w14:solidFill>
                    <w14:schemeClr w14:val="tx1"/>
                  </w14:solidFill>
                </w14:textFill>
              </w:rPr>
            </w:pPr>
            <w:r>
              <w:rPr>
                <w:rFonts w:hint="eastAsia" w:ascii="宋体" w:hAnsi="宋体" w:eastAsia="宋体" w:cs="Times New Roman"/>
                <w:color w:val="000000" w:themeColor="text1"/>
                <w:sz w:val="24"/>
                <w:vertAlign w:val="baseline"/>
                <w:lang w:val="en-US" w:eastAsia="zh-CN"/>
                <w14:textFill>
                  <w14:solidFill>
                    <w14:schemeClr w14:val="tx1"/>
                  </w14:solidFill>
                </w14:textFill>
              </w:rPr>
              <w:t>说明：1、商业（2）面积为：1栋201（742.5</w:t>
            </w:r>
            <w:r>
              <w:rPr>
                <w:rFonts w:hint="eastAsia" w:ascii="宋体" w:hAnsi="宋体" w:eastAsia="宋体" w:cs="宋体"/>
                <w:color w:val="000000" w:themeColor="text1"/>
                <w:sz w:val="24"/>
                <w:vertAlign w:val="baseline"/>
                <w:lang w:val="en-US" w:eastAsia="zh-CN"/>
                <w14:textFill>
                  <w14:solidFill>
                    <w14:schemeClr w14:val="tx1"/>
                  </w14:solidFill>
                </w14:textFill>
              </w:rPr>
              <w:t>㎡</w:t>
            </w:r>
            <w:r>
              <w:rPr>
                <w:rFonts w:hint="eastAsia" w:ascii="宋体" w:hAnsi="宋体" w:eastAsia="宋体" w:cs="Times New Roman"/>
                <w:color w:val="000000" w:themeColor="text1"/>
                <w:sz w:val="24"/>
                <w:vertAlign w:val="baseline"/>
                <w:lang w:val="en-US" w:eastAsia="zh-CN"/>
                <w14:textFill>
                  <w14:solidFill>
                    <w14:schemeClr w14:val="tx1"/>
                  </w14:solidFill>
                </w14:textFill>
              </w:rPr>
              <w:t>）；商业（3）面积为：幼儿园（1000</w:t>
            </w:r>
            <w:r>
              <w:rPr>
                <w:rFonts w:hint="eastAsia" w:ascii="宋体" w:hAnsi="宋体" w:eastAsia="宋体" w:cs="宋体"/>
                <w:color w:val="000000" w:themeColor="text1"/>
                <w:sz w:val="24"/>
                <w:vertAlign w:val="baseline"/>
                <w:lang w:val="en-US" w:eastAsia="zh-CN"/>
                <w14:textFill>
                  <w14:solidFill>
                    <w14:schemeClr w14:val="tx1"/>
                  </w14:solidFill>
                </w14:textFill>
              </w:rPr>
              <w:t>㎡</w:t>
            </w:r>
            <w:r>
              <w:rPr>
                <w:rFonts w:hint="eastAsia" w:ascii="宋体" w:hAnsi="宋体" w:eastAsia="宋体" w:cs="Times New Roman"/>
                <w:color w:val="000000" w:themeColor="text1"/>
                <w:sz w:val="24"/>
                <w:vertAlign w:val="baseline"/>
                <w:lang w:val="en-US" w:eastAsia="zh-CN"/>
                <w14:textFill>
                  <w14:solidFill>
                    <w14:schemeClr w14:val="tx1"/>
                  </w14:solidFill>
                </w14:textFill>
              </w:rPr>
              <w:t>），华联超市面积（7570.68</w:t>
            </w:r>
            <w:r>
              <w:rPr>
                <w:rFonts w:hint="eastAsia" w:ascii="宋体" w:hAnsi="宋体" w:eastAsia="宋体" w:cs="宋体"/>
                <w:color w:val="000000" w:themeColor="text1"/>
                <w:sz w:val="24"/>
                <w:vertAlign w:val="baseline"/>
                <w:lang w:val="en-US" w:eastAsia="zh-CN"/>
                <w14:textFill>
                  <w14:solidFill>
                    <w14:schemeClr w14:val="tx1"/>
                  </w14:solidFill>
                </w14:textFill>
              </w:rPr>
              <w:t>㎡</w:t>
            </w:r>
            <w:r>
              <w:rPr>
                <w:rFonts w:hint="eastAsia" w:ascii="宋体" w:hAnsi="宋体" w:eastAsia="宋体" w:cs="Times New Roman"/>
                <w:color w:val="000000" w:themeColor="text1"/>
                <w:sz w:val="24"/>
                <w:vertAlign w:val="baseline"/>
                <w:lang w:val="en-US" w:eastAsia="zh-CN"/>
                <w14:textFill>
                  <w14:solidFill>
                    <w14:schemeClr w14:val="tx1"/>
                  </w14:solidFill>
                </w14:textFill>
              </w:rPr>
              <w:t>），社区用房（583.5</w:t>
            </w:r>
            <w:r>
              <w:rPr>
                <w:rFonts w:hint="eastAsia" w:ascii="宋体" w:hAnsi="宋体" w:eastAsia="宋体" w:cs="宋体"/>
                <w:color w:val="000000" w:themeColor="text1"/>
                <w:sz w:val="24"/>
                <w:vertAlign w:val="baseline"/>
                <w:lang w:val="en-US" w:eastAsia="zh-CN"/>
                <w14:textFill>
                  <w14:solidFill>
                    <w14:schemeClr w14:val="tx1"/>
                  </w14:solidFill>
                </w14:textFill>
              </w:rPr>
              <w:t>㎡</w:t>
            </w:r>
            <w:r>
              <w:rPr>
                <w:rFonts w:hint="eastAsia" w:ascii="宋体" w:hAnsi="宋体" w:eastAsia="宋体" w:cs="Times New Roman"/>
                <w:color w:val="000000" w:themeColor="text1"/>
                <w:sz w:val="24"/>
                <w:vertAlign w:val="baseline"/>
                <w:lang w:val="en-US" w:eastAsia="zh-CN"/>
                <w14:textFill>
                  <w14:solidFill>
                    <w14:schemeClr w14:val="tx1"/>
                  </w14:solidFill>
                </w14:textFill>
              </w:rPr>
              <w:t>），售楼中心（126.37</w:t>
            </w:r>
            <w:r>
              <w:rPr>
                <w:rFonts w:hint="eastAsia" w:ascii="宋体" w:hAnsi="宋体" w:eastAsia="宋体" w:cs="宋体"/>
                <w:color w:val="000000" w:themeColor="text1"/>
                <w:sz w:val="24"/>
                <w:vertAlign w:val="baseline"/>
                <w:lang w:val="en-US" w:eastAsia="zh-CN"/>
                <w14:textFill>
                  <w14:solidFill>
                    <w14:schemeClr w14:val="tx1"/>
                  </w14:solidFill>
                </w14:textFill>
              </w:rPr>
              <w:t>㎡</w:t>
            </w:r>
            <w:r>
              <w:rPr>
                <w:rFonts w:hint="eastAsia" w:ascii="宋体" w:hAnsi="宋体" w:eastAsia="宋体" w:cs="Times New Roman"/>
                <w:color w:val="000000" w:themeColor="text1"/>
                <w:sz w:val="24"/>
                <w:vertAlign w:val="baseline"/>
                <w:lang w:val="en-US" w:eastAsia="zh-CN"/>
                <w14:textFill>
                  <w14:solidFill>
                    <w14:schemeClr w14:val="tx1"/>
                  </w14:solidFill>
                </w14:textFill>
              </w:rPr>
              <w:t>），赵家饭店（4000</w:t>
            </w:r>
            <w:r>
              <w:rPr>
                <w:rFonts w:hint="eastAsia" w:ascii="宋体" w:hAnsi="宋体" w:eastAsia="宋体" w:cs="宋体"/>
                <w:color w:val="000000" w:themeColor="text1"/>
                <w:sz w:val="24"/>
                <w:vertAlign w:val="baseline"/>
                <w:lang w:val="en-US" w:eastAsia="zh-CN"/>
                <w14:textFill>
                  <w14:solidFill>
                    <w14:schemeClr w14:val="tx1"/>
                  </w14:solidFill>
                </w14:textFill>
              </w:rPr>
              <w:t>㎡</w:t>
            </w:r>
            <w:r>
              <w:rPr>
                <w:rFonts w:hint="eastAsia" w:ascii="宋体" w:hAnsi="宋体" w:eastAsia="宋体" w:cs="Times New Roman"/>
                <w:color w:val="000000" w:themeColor="text1"/>
                <w:sz w:val="24"/>
                <w:vertAlign w:val="baseline"/>
                <w:lang w:val="en-US" w:eastAsia="zh-CN"/>
                <w14:textFill>
                  <w14:solidFill>
                    <w14:schemeClr w14:val="tx1"/>
                  </w14:solidFill>
                </w14:textFill>
              </w:rPr>
              <w:t>），翰林教育（728.81</w:t>
            </w:r>
            <w:r>
              <w:rPr>
                <w:rFonts w:hint="eastAsia" w:ascii="宋体" w:hAnsi="宋体" w:eastAsia="宋体" w:cs="宋体"/>
                <w:color w:val="000000" w:themeColor="text1"/>
                <w:sz w:val="24"/>
                <w:vertAlign w:val="baseline"/>
                <w:lang w:val="en-US" w:eastAsia="zh-CN"/>
                <w14:textFill>
                  <w14:solidFill>
                    <w14:schemeClr w14:val="tx1"/>
                  </w14:solidFill>
                </w14:textFill>
              </w:rPr>
              <w:t>㎡</w:t>
            </w:r>
            <w:r>
              <w:rPr>
                <w:rFonts w:hint="eastAsia" w:ascii="宋体" w:hAnsi="宋体" w:eastAsia="宋体" w:cs="Times New Roman"/>
                <w:color w:val="000000" w:themeColor="text1"/>
                <w:sz w:val="24"/>
                <w:vertAlign w:val="baseline"/>
                <w:lang w:val="en-US" w:eastAsia="zh-CN"/>
                <w14:textFill>
                  <w14:solidFill>
                    <w14:schemeClr w14:val="tx1"/>
                  </w14:solidFill>
                </w14:textFill>
              </w:rPr>
              <w:t>）；余下为商业（1）面积。</w:t>
            </w:r>
            <w:r>
              <w:rPr>
                <w:rFonts w:hint="eastAsia" w:eastAsia="宋体" w:cs="Times New Roman"/>
                <w:color w:val="000000" w:themeColor="text1"/>
                <w:sz w:val="24"/>
                <w:vertAlign w:val="baseline"/>
                <w:lang w:val="en-US" w:eastAsia="zh-CN"/>
                <w14:textFill>
                  <w14:solidFill>
                    <w14:schemeClr w14:val="tx1"/>
                  </w14:solidFill>
                </w14:textFill>
              </w:rPr>
              <w:t>以实际测量面积为准。</w:t>
            </w:r>
          </w:p>
        </w:tc>
      </w:tr>
    </w:tbl>
    <w:p>
      <w:pPr>
        <w:spacing w:line="500" w:lineRule="exact"/>
        <w:ind w:firstLine="482" w:firstLineChars="200"/>
        <w:rPr>
          <w:rFonts w:hint="eastAsia" w:ascii="宋体" w:hAnsi="宋体" w:eastAsia="宋体" w:cs="Times New Roman"/>
          <w:b/>
          <w:bCs/>
          <w:color w:val="000000" w:themeColor="text1"/>
          <w:sz w:val="24"/>
          <w:szCs w:val="22"/>
          <w:lang w:eastAsia="zh-CN"/>
          <w14:textFill>
            <w14:solidFill>
              <w14:schemeClr w14:val="tx1"/>
            </w14:solidFill>
          </w14:textFill>
        </w:rPr>
      </w:pPr>
      <w:r>
        <w:rPr>
          <w:rFonts w:hint="eastAsia" w:ascii="宋体" w:hAnsi="宋体" w:eastAsia="宋体" w:cs="Times New Roman"/>
          <w:b/>
          <w:bCs/>
          <w:color w:val="000000" w:themeColor="text1"/>
          <w:sz w:val="24"/>
          <w:szCs w:val="22"/>
          <w:lang w:eastAsia="zh-CN"/>
          <w14:textFill>
            <w14:solidFill>
              <w14:schemeClr w14:val="tx1"/>
            </w14:solidFill>
          </w14:textFill>
        </w:rPr>
        <w:t>注：1）本项目为固定投标报价，投标报价不做为本项目评审因素。投标人应按照上述表格进行投标报价，否则投标无效。</w:t>
      </w:r>
    </w:p>
    <w:p>
      <w:pPr>
        <w:numPr>
          <w:ilvl w:val="0"/>
          <w:numId w:val="0"/>
        </w:numPr>
        <w:spacing w:line="500" w:lineRule="exact"/>
        <w:ind w:firstLine="482" w:firstLineChars="200"/>
        <w:rPr>
          <w:rFonts w:hint="eastAsia" w:ascii="宋体" w:hAnsi="宋体" w:eastAsia="宋体" w:cs="Times New Roman"/>
          <w:b/>
          <w:bCs/>
          <w:color w:val="000000"/>
          <w:sz w:val="24"/>
          <w:szCs w:val="22"/>
          <w:lang w:val="en-US" w:eastAsia="zh-CN"/>
        </w:rPr>
      </w:pPr>
      <w:r>
        <w:rPr>
          <w:rFonts w:hint="eastAsia" w:ascii="宋体" w:hAnsi="宋体" w:eastAsia="宋体" w:cs="Times New Roman"/>
          <w:b/>
          <w:bCs/>
          <w:color w:val="000000" w:themeColor="text1"/>
          <w:sz w:val="24"/>
          <w:szCs w:val="22"/>
          <w:lang w:val="en-US" w:eastAsia="zh-CN"/>
          <w14:textFill>
            <w14:solidFill>
              <w14:schemeClr w14:val="tx1"/>
            </w14:solidFill>
          </w14:textFill>
        </w:rPr>
        <w:t>2）</w:t>
      </w:r>
      <w:r>
        <w:rPr>
          <w:rFonts w:hint="eastAsia" w:ascii="宋体" w:hAnsi="宋体" w:eastAsia="宋体" w:cs="Times New Roman"/>
          <w:b/>
          <w:bCs/>
          <w:color w:val="000000"/>
          <w:sz w:val="24"/>
          <w:szCs w:val="22"/>
          <w:lang w:val="en-US" w:eastAsia="zh-CN"/>
        </w:rPr>
        <w:t>本项目服务期：三年，具体为2021年1月1日至2023年12月31日。</w:t>
      </w:r>
    </w:p>
    <w:p>
      <w:pPr>
        <w:numPr>
          <w:ilvl w:val="0"/>
          <w:numId w:val="0"/>
        </w:numPr>
        <w:spacing w:line="500" w:lineRule="exact"/>
        <w:ind w:firstLine="482" w:firstLineChars="200"/>
        <w:rPr>
          <w:rFonts w:hint="eastAsia" w:ascii="宋体" w:hAnsi="宋体" w:eastAsia="宋体" w:cs="Times New Roman"/>
          <w:b/>
          <w:bCs/>
          <w:color w:val="000000" w:themeColor="text1"/>
          <w:sz w:val="24"/>
          <w:szCs w:val="22"/>
          <w:lang w:val="en-US" w:eastAsia="zh-CN"/>
          <w14:textFill>
            <w14:solidFill>
              <w14:schemeClr w14:val="tx1"/>
            </w14:solidFill>
          </w14:textFill>
        </w:rPr>
      </w:pPr>
      <w:r>
        <w:rPr>
          <w:rFonts w:hint="eastAsia" w:ascii="宋体" w:hAnsi="宋体" w:eastAsia="宋体" w:cs="Times New Roman"/>
          <w:b/>
          <w:bCs/>
          <w:color w:val="000000"/>
          <w:sz w:val="24"/>
          <w:szCs w:val="22"/>
          <w:lang w:val="en-US" w:eastAsia="zh-CN"/>
        </w:rPr>
        <w:t>其中2021年1月1日至2021年2月8日为过渡期，由前期物业单位代管。在此期间的物业管理费由中标人统一收取，与前期物业单位办理移交手续后，十日内向前期物业单位支付过渡期物业代管费用（最迟支付时间为2021年2月18日，合计费用约28万元），标准按中标人与业主委员会签订合同价格执行。此项投标人必须响应否则投标无效。</w:t>
      </w:r>
    </w:p>
    <w:p>
      <w:pPr>
        <w:numPr>
          <w:ilvl w:val="0"/>
          <w:numId w:val="4"/>
        </w:numPr>
        <w:spacing w:line="500" w:lineRule="exact"/>
        <w:ind w:firstLine="482" w:firstLineChars="200"/>
        <w:rPr>
          <w:rFonts w:hint="eastAsia" w:ascii="宋体" w:hAnsi="宋体" w:eastAsia="宋体" w:cs="Times New Roman"/>
          <w:b/>
          <w:bCs/>
          <w:color w:val="000000" w:themeColor="text1"/>
          <w:sz w:val="24"/>
          <w:szCs w:val="22"/>
          <w:lang w:val="en-US" w:eastAsia="zh-CN"/>
          <w14:textFill>
            <w14:solidFill>
              <w14:schemeClr w14:val="tx1"/>
            </w14:solidFill>
          </w14:textFill>
        </w:rPr>
      </w:pPr>
      <w:r>
        <w:rPr>
          <w:rFonts w:hint="eastAsia" w:ascii="宋体" w:hAnsi="宋体" w:eastAsia="宋体" w:cs="Times New Roman"/>
          <w:b/>
          <w:bCs/>
          <w:color w:val="000000" w:themeColor="text1"/>
          <w:sz w:val="24"/>
          <w:szCs w:val="22"/>
          <w:lang w:val="en-US" w:eastAsia="zh-CN"/>
          <w14:textFill>
            <w14:solidFill>
              <w14:schemeClr w14:val="tx1"/>
            </w14:solidFill>
          </w14:textFill>
        </w:rPr>
        <w:t>物业管理服务费的结算形式采用包干制。人员工资必须满足下列要求：</w:t>
      </w:r>
    </w:p>
    <w:p>
      <w:pPr>
        <w:numPr>
          <w:ilvl w:val="0"/>
          <w:numId w:val="0"/>
        </w:num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（1）</w:t>
      </w:r>
      <w:r>
        <w:rPr>
          <w:rFonts w:hint="eastAsia" w:ascii="宋体" w:hAnsi="宋体" w:eastAsia="宋体" w:cs="Times New Roman"/>
          <w:color w:val="000000" w:themeColor="text1"/>
          <w:sz w:val="24"/>
          <w:szCs w:val="22"/>
          <w14:textFill>
            <w14:solidFill>
              <w14:schemeClr w14:val="tx1"/>
            </w14:solidFill>
          </w14:textFill>
        </w:rPr>
        <w:t>人员工资不低于合肥市最低工资标准（1550元/人/月）。人员工资不得低于合肥市市区现行最低标准，保险按国家相关规定执行。成本核算时所有配备的人员都应计算保险部分，不得以使用40、50人员为由不予核算。</w:t>
      </w:r>
    </w:p>
    <w:p>
      <w:pPr>
        <w:spacing w:line="500" w:lineRule="exact"/>
        <w:ind w:firstLine="480" w:firstLineChars="200"/>
        <w:rPr>
          <w:rFonts w:hint="eastAsia" w:ascii="宋体" w:hAnsi="宋体" w:eastAsia="宋体" w:cs="Times New Roman"/>
          <w:color w:val="000000" w:themeColor="text1"/>
          <w:sz w:val="24"/>
          <w:szCs w:val="22"/>
          <w14:textFill>
            <w14:solidFill>
              <w14:schemeClr w14:val="tx1"/>
            </w14:solidFill>
          </w14:textFill>
        </w:rPr>
      </w:pPr>
      <w:r>
        <w:rPr>
          <w:rFonts w:hint="eastAsia" w:ascii="宋体" w:hAnsi="宋体" w:eastAsia="宋体" w:cs="Times New Roman"/>
          <w:color w:val="000000" w:themeColor="text1"/>
          <w:sz w:val="24"/>
          <w:szCs w:val="22"/>
          <w:lang w:val="en-US" w:eastAsia="zh-CN"/>
          <w14:textFill>
            <w14:solidFill>
              <w14:schemeClr w14:val="tx1"/>
            </w14:solidFill>
          </w14:textFill>
        </w:rPr>
        <w:t>（2）</w:t>
      </w:r>
      <w:r>
        <w:rPr>
          <w:rFonts w:hint="eastAsia" w:ascii="宋体" w:hAnsi="宋体" w:eastAsia="宋体" w:cs="Times New Roman"/>
          <w:color w:val="000000" w:themeColor="text1"/>
          <w:sz w:val="24"/>
          <w:szCs w:val="22"/>
          <w14:textFill>
            <w14:solidFill>
              <w14:schemeClr w14:val="tx1"/>
            </w14:solidFill>
          </w14:textFill>
        </w:rPr>
        <w:t>社会保险（五险）缴费基数最低为3065元，计算缴费金额以每人每月为基数，单位重大疾病补助须缴纳（15元/每人/每月）。社会保险（五险）费用（缴费费率：27.9%）组成为：养老保险19%、工伤保险0.40%、失业保险0.5%、医疗保险8%。</w:t>
      </w:r>
    </w:p>
    <w:p>
      <w:pPr>
        <w:widowControl/>
        <w:spacing w:line="360" w:lineRule="auto"/>
        <w:ind w:firstLine="480" w:firstLineChars="200"/>
        <w:rPr>
          <w:rFonts w:hint="eastAsia"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lang w:val="en-US" w:eastAsia="zh-CN"/>
          <w14:textFill>
            <w14:solidFill>
              <w14:schemeClr w14:val="tx1"/>
            </w14:solidFill>
          </w14:textFill>
        </w:rPr>
        <w:t>（3）</w:t>
      </w:r>
      <w:r>
        <w:rPr>
          <w:rFonts w:hint="eastAsia" w:ascii="宋体" w:hAnsi="宋体" w:eastAsia="宋体" w:cs="Times New Roman"/>
          <w:color w:val="000000" w:themeColor="text1"/>
          <w:kern w:val="0"/>
          <w:sz w:val="24"/>
          <w:szCs w:val="24"/>
          <w14:textFill>
            <w14:solidFill>
              <w14:schemeClr w14:val="tx1"/>
            </w14:solidFill>
          </w14:textFill>
        </w:rPr>
        <w:t>投标人应考虑合同期内政策性费用调整的风险。应考虑合肥市最低工资标准上调等风险，履约期限内不得以最低工资标准上调以及物价指数上涨等理由增加物业管理费用。承包期内因省、市政府出台文件调整最低人员保障工资的，中标人须无条件予以调整，该风险投标人投标时须综合考虑并承担，以后招标人不再给予。</w:t>
      </w:r>
      <w:r>
        <w:rPr>
          <w:rFonts w:ascii="宋体" w:hAnsi="宋体" w:eastAsia="宋体" w:cs="Times New Roman"/>
          <w:bCs/>
          <w:color w:val="000000" w:themeColor="text1"/>
          <w:sz w:val="24"/>
          <w:szCs w:val="24"/>
          <w14:textFill>
            <w14:solidFill>
              <w14:schemeClr w14:val="tx1"/>
            </w14:solidFill>
          </w14:textFill>
        </w:rPr>
        <w:tab/>
      </w:r>
    </w:p>
    <w:p>
      <w:pPr>
        <w:spacing w:line="360" w:lineRule="auto"/>
        <w:ind w:firstLine="480" w:firstLineChars="200"/>
        <w:rPr>
          <w:rFonts w:hint="eastAsia"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lang w:val="en-US" w:eastAsia="zh-CN"/>
          <w14:textFill>
            <w14:solidFill>
              <w14:schemeClr w14:val="tx1"/>
            </w14:solidFill>
          </w14:textFill>
        </w:rPr>
        <w:t>2</w:t>
      </w:r>
      <w:r>
        <w:rPr>
          <w:rFonts w:ascii="宋体" w:hAnsi="宋体" w:eastAsia="宋体" w:cs="Times New Roman"/>
          <w:color w:val="000000" w:themeColor="text1"/>
          <w:sz w:val="24"/>
          <w:szCs w:val="24"/>
          <w14:textFill>
            <w14:solidFill>
              <w14:schemeClr w14:val="tx1"/>
            </w14:solidFill>
          </w14:textFill>
        </w:rPr>
        <w:t>、其他未尽事宜，按《合肥市物业管理若干规定》、《合肥市住宅小区物业服务收费管</w:t>
      </w:r>
      <w:r>
        <w:rPr>
          <w:rFonts w:hint="eastAsia" w:ascii="宋体" w:hAnsi="宋体" w:eastAsia="宋体" w:cs="Times New Roman"/>
          <w:color w:val="000000" w:themeColor="text1"/>
          <w:sz w:val="24"/>
          <w:szCs w:val="24"/>
          <w14:textFill>
            <w14:solidFill>
              <w14:schemeClr w14:val="tx1"/>
            </w14:solidFill>
          </w14:textFill>
        </w:rPr>
        <w:t>理办法》执行。</w:t>
      </w:r>
    </w:p>
    <w:p>
      <w:pPr>
        <w:spacing w:line="360" w:lineRule="auto"/>
        <w:ind w:firstLine="513" w:firstLineChars="214"/>
        <w:rPr>
          <w:rFonts w:hint="eastAsia" w:ascii="宋体" w:hAnsi="宋体" w:eastAsia="宋体" w:cs="Times New Roman"/>
          <w:b/>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 w:val="24"/>
          <w:szCs w:val="24"/>
          <w:lang w:val="en-US" w:eastAsia="zh-CN"/>
          <w14:textFill>
            <w14:solidFill>
              <w14:schemeClr w14:val="tx1"/>
            </w14:solidFill>
          </w14:textFill>
        </w:rPr>
        <w:t>3</w:t>
      </w:r>
      <w:r>
        <w:rPr>
          <w:rFonts w:hint="eastAsia" w:ascii="宋体" w:hAnsi="宋体" w:eastAsia="宋体" w:cs="Times New Roman"/>
          <w:color w:val="000000" w:themeColor="text1"/>
          <w:kern w:val="0"/>
          <w:sz w:val="24"/>
          <w:szCs w:val="24"/>
          <w14:textFill>
            <w14:solidFill>
              <w14:schemeClr w14:val="tx1"/>
            </w14:solidFill>
          </w14:textFill>
        </w:rPr>
        <w:t>、中标人应按合肥市行业主管部门的规定办理相关手续(如备案等)。</w:t>
      </w:r>
    </w:p>
    <w:p>
      <w:pPr>
        <w:spacing w:line="360" w:lineRule="auto"/>
        <w:ind w:firstLine="482" w:firstLineChars="200"/>
        <w:rPr>
          <w:rFonts w:hint="eastAsia" w:ascii="宋体" w:hAnsi="Times New Roman" w:eastAsia="宋体" w:cs="宋体"/>
          <w:b/>
          <w:bCs/>
          <w:color w:val="000000" w:themeColor="text1"/>
          <w:sz w:val="24"/>
          <w:szCs w:val="24"/>
          <w:lang w:val="zh-CN"/>
          <w14:textFill>
            <w14:solidFill>
              <w14:schemeClr w14:val="tx1"/>
            </w14:solidFill>
          </w14:textFill>
        </w:rPr>
      </w:pPr>
      <w:r>
        <w:rPr>
          <w:rFonts w:hint="eastAsia" w:ascii="宋体" w:hAnsi="Times New Roman" w:eastAsia="宋体" w:cs="宋体"/>
          <w:b/>
          <w:bCs/>
          <w:color w:val="000000" w:themeColor="text1"/>
          <w:sz w:val="24"/>
          <w:szCs w:val="24"/>
          <w:lang w:val="zh-CN"/>
          <w14:textFill>
            <w14:solidFill>
              <w14:schemeClr w14:val="tx1"/>
            </w14:solidFill>
          </w14:textFill>
        </w:rPr>
        <w:t>五、考核办法</w:t>
      </w:r>
    </w:p>
    <w:p>
      <w:pPr>
        <w:spacing w:line="360" w:lineRule="auto"/>
        <w:ind w:firstLine="482" w:firstLineChars="200"/>
        <w:rPr>
          <w:rFonts w:hint="eastAsia" w:ascii="宋体" w:hAnsi="宋体" w:eastAsia="宋体" w:cs="Times New Roman"/>
          <w:b/>
          <w:color w:val="000000" w:themeColor="text1"/>
          <w:kern w:val="0"/>
          <w:sz w:val="24"/>
          <w:szCs w:val="24"/>
          <w:lang w:val="zh-CN"/>
          <w14:textFill>
            <w14:solidFill>
              <w14:schemeClr w14:val="tx1"/>
            </w14:solidFill>
          </w14:textFill>
        </w:rPr>
      </w:pPr>
      <w:r>
        <w:rPr>
          <w:rFonts w:hint="eastAsia" w:ascii="宋体" w:hAnsi="宋体" w:eastAsia="宋体" w:cs="Times New Roman"/>
          <w:b/>
          <w:color w:val="000000" w:themeColor="text1"/>
          <w:kern w:val="0"/>
          <w:sz w:val="24"/>
          <w:szCs w:val="24"/>
          <w:lang w:val="zh-CN"/>
          <w14:textFill>
            <w14:solidFill>
              <w14:schemeClr w14:val="tx1"/>
            </w14:solidFill>
          </w14:textFill>
        </w:rPr>
        <w:t>中标人服务水平不得低于</w:t>
      </w:r>
      <w:r>
        <w:rPr>
          <w:rFonts w:hint="eastAsia" w:ascii="微软雅黑" w:hAnsi="微软雅黑" w:eastAsia="微软雅黑" w:cs="微软雅黑"/>
          <w:b/>
          <w:color w:val="000000" w:themeColor="text1"/>
          <w:kern w:val="0"/>
          <w:sz w:val="24"/>
          <w:szCs w:val="24"/>
          <w:lang w:val="zh-CN"/>
          <w14:textFill>
            <w14:solidFill>
              <w14:schemeClr w14:val="tx1"/>
            </w14:solidFill>
          </w14:textFill>
        </w:rPr>
        <w:t>《</w:t>
      </w:r>
      <w:r>
        <w:rPr>
          <w:rFonts w:hint="eastAsia" w:ascii="宋体" w:hAnsi="宋体" w:eastAsia="宋体" w:cs="Times New Roman"/>
          <w:b/>
          <w:color w:val="000000" w:themeColor="text1"/>
          <w:kern w:val="0"/>
          <w:sz w:val="24"/>
          <w:szCs w:val="24"/>
          <w:lang w:val="zh-CN"/>
          <w14:textFill>
            <w14:solidFill>
              <w14:schemeClr w14:val="tx1"/>
            </w14:solidFill>
          </w14:textFill>
        </w:rPr>
        <w:t>合肥市住宅小区物业服务收费管理办法</w:t>
      </w:r>
      <w:r>
        <w:rPr>
          <w:rFonts w:hint="eastAsia" w:ascii="微软雅黑" w:hAnsi="微软雅黑" w:eastAsia="微软雅黑" w:cs="微软雅黑"/>
          <w:b/>
          <w:color w:val="000000" w:themeColor="text1"/>
          <w:kern w:val="0"/>
          <w:sz w:val="24"/>
          <w:szCs w:val="24"/>
          <w:lang w:val="zh-CN"/>
          <w14:textFill>
            <w14:solidFill>
              <w14:schemeClr w14:val="tx1"/>
            </w14:solidFill>
          </w14:textFill>
        </w:rPr>
        <w:t>》</w:t>
      </w:r>
      <w:r>
        <w:rPr>
          <w:rFonts w:hint="eastAsia" w:ascii="宋体" w:hAnsi="宋体" w:eastAsia="宋体" w:cs="Times New Roman"/>
          <w:b/>
          <w:color w:val="000000" w:themeColor="text1"/>
          <w:kern w:val="0"/>
          <w:sz w:val="24"/>
          <w:szCs w:val="24"/>
          <w:lang w:val="zh-CN"/>
          <w14:textFill>
            <w14:solidFill>
              <w14:schemeClr w14:val="tx1"/>
            </w14:solidFill>
          </w14:textFill>
        </w:rPr>
        <w:t>的合肥市住宅小区物业服务规范及等级（乙级）服务标准，</w:t>
      </w:r>
      <w:r>
        <w:rPr>
          <w:rFonts w:hint="eastAsia" w:ascii="宋体" w:hAnsi="宋体" w:eastAsia="宋体" w:cs="Times New Roman"/>
          <w:b/>
          <w:color w:val="000000"/>
          <w:kern w:val="0"/>
          <w:sz w:val="24"/>
          <w:szCs w:val="24"/>
          <w:lang w:val="zh-CN"/>
        </w:rPr>
        <w:t>接受招标人相关考核。</w:t>
      </w:r>
    </w:p>
    <w:p>
      <w:pPr>
        <w:spacing w:line="460" w:lineRule="exact"/>
        <w:ind w:left="480" w:right="26"/>
        <w:rPr>
          <w:rFonts w:hint="eastAsia"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（一）考核形式</w:t>
      </w:r>
    </w:p>
    <w:p>
      <w:pPr>
        <w:spacing w:line="460" w:lineRule="exact"/>
        <w:ind w:right="140" w:firstLine="480"/>
        <w:rPr>
          <w:rFonts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1、每日巡查。由招标人组织考核领导小组，安排专人（不少于 2 人）负责，并做好巡查记录。</w:t>
      </w:r>
    </w:p>
    <w:p>
      <w:pPr>
        <w:spacing w:line="460" w:lineRule="exact"/>
        <w:ind w:right="180"/>
        <w:rPr>
          <w:rFonts w:ascii="Times New Roman" w:hAnsi="Times New Roman" w:eastAsia="Times New Roman" w:cs="Times New Roman"/>
          <w:color w:val="000000" w:themeColor="text1"/>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 xml:space="preserve">    </w:t>
      </w:r>
      <w:r>
        <w:rPr>
          <w:rFonts w:ascii="宋体" w:hAnsi="宋体" w:eastAsia="宋体" w:cs="Times New Roman"/>
          <w:color w:val="000000" w:themeColor="text1"/>
          <w:sz w:val="24"/>
          <w14:textFill>
            <w14:solidFill>
              <w14:schemeClr w14:val="tx1"/>
            </w14:solidFill>
          </w14:textFill>
        </w:rPr>
        <w:t>2、全面检查。由考核领导小组组织实施，每周一次，对照《评分细则》，现场评分、 亮分，并由中标单位对检查结果认可签字。</w:t>
      </w:r>
    </w:p>
    <w:p>
      <w:pPr>
        <w:spacing w:line="460" w:lineRule="exact"/>
        <w:ind w:left="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3、暗查。由考核领导小组成员组成，每月一次。</w:t>
      </w:r>
    </w:p>
    <w:p>
      <w:pPr>
        <w:spacing w:line="460" w:lineRule="exact"/>
        <w:ind w:left="480"/>
        <w:rPr>
          <w:rFonts w:hint="eastAsia"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4、班子集体检查。招标人根据工作需要，可组织班子成员进行检查，一般两个月一次。</w:t>
      </w:r>
    </w:p>
    <w:p>
      <w:pPr>
        <w:spacing w:line="460" w:lineRule="exact"/>
        <w:ind w:right="100" w:firstLine="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5、若承包单位拒不签字，按照考核检查照片和现场考核人员两人签字为准，作为考核依据。</w:t>
      </w:r>
    </w:p>
    <w:p>
      <w:pPr>
        <w:spacing w:line="460" w:lineRule="exact"/>
        <w:ind w:left="480" w:right="26"/>
        <w:rPr>
          <w:rFonts w:hint="eastAsia"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 xml:space="preserve">上述考核的结果，均计入当月总分。 </w:t>
      </w:r>
    </w:p>
    <w:p>
      <w:pPr>
        <w:spacing w:line="460" w:lineRule="exact"/>
        <w:ind w:left="480" w:right="26"/>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（二）分值评定</w:t>
      </w:r>
    </w:p>
    <w:p>
      <w:pPr>
        <w:spacing w:line="460" w:lineRule="exact"/>
        <w:ind w:right="180" w:firstLine="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考核分值为 100 分。每次考核按照《评分细则》规定进行扣分，作为对中标者兑现合同履约保证金的依据。</w:t>
      </w:r>
    </w:p>
    <w:p>
      <w:pPr>
        <w:spacing w:line="460" w:lineRule="exact"/>
        <w:ind w:left="480" w:right="26"/>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 xml:space="preserve">（三）考核措施每月考核得分在 </w:t>
      </w:r>
      <w:r>
        <w:rPr>
          <w:rFonts w:hint="eastAsia" w:ascii="宋体" w:hAnsi="宋体" w:eastAsia="宋体" w:cs="Times New Roman"/>
          <w:color w:val="000000" w:themeColor="text1"/>
          <w:sz w:val="24"/>
          <w:lang w:val="en-US" w:eastAsia="zh-CN"/>
          <w14:textFill>
            <w14:solidFill>
              <w14:schemeClr w14:val="tx1"/>
            </w14:solidFill>
          </w14:textFill>
        </w:rPr>
        <w:t>80</w:t>
      </w:r>
      <w:r>
        <w:rPr>
          <w:rFonts w:ascii="宋体" w:hAnsi="宋体" w:eastAsia="宋体" w:cs="Times New Roman"/>
          <w:color w:val="000000" w:themeColor="text1"/>
          <w:sz w:val="24"/>
          <w14:textFill>
            <w14:solidFill>
              <w14:schemeClr w14:val="tx1"/>
            </w14:solidFill>
          </w14:textFill>
        </w:rPr>
        <w:t xml:space="preserve"> 分（含 </w:t>
      </w:r>
      <w:r>
        <w:rPr>
          <w:rFonts w:hint="eastAsia" w:ascii="宋体" w:hAnsi="宋体" w:eastAsia="宋体" w:cs="Times New Roman"/>
          <w:color w:val="000000" w:themeColor="text1"/>
          <w:sz w:val="24"/>
          <w:lang w:val="en-US" w:eastAsia="zh-CN"/>
          <w14:textFill>
            <w14:solidFill>
              <w14:schemeClr w14:val="tx1"/>
            </w14:solidFill>
          </w14:textFill>
        </w:rPr>
        <w:t>80</w:t>
      </w:r>
      <w:r>
        <w:rPr>
          <w:rFonts w:ascii="宋体" w:hAnsi="宋体" w:eastAsia="宋体" w:cs="Times New Roman"/>
          <w:color w:val="000000" w:themeColor="text1"/>
          <w:sz w:val="24"/>
          <w14:textFill>
            <w14:solidFill>
              <w14:schemeClr w14:val="tx1"/>
            </w14:solidFill>
          </w14:textFill>
        </w:rPr>
        <w:t xml:space="preserve"> 分）为合格。</w:t>
      </w:r>
    </w:p>
    <w:p>
      <w:pPr>
        <w:spacing w:line="46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 xml:space="preserve">受到国家、省、市、区表彰的（凭证书或文件），随后每月在得分中分别增加 4 分、3分、2 分、1 分。 </w:t>
      </w:r>
    </w:p>
    <w:p>
      <w:pPr>
        <w:spacing w:line="460" w:lineRule="exact"/>
        <w:ind w:left="480"/>
        <w:rPr>
          <w:rFonts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（四）处罚</w:t>
      </w:r>
    </w:p>
    <w:p>
      <w:pPr>
        <w:spacing w:line="46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 xml:space="preserve">1、每月考核得分在 </w:t>
      </w:r>
      <w:r>
        <w:rPr>
          <w:rFonts w:hint="eastAsia" w:ascii="宋体" w:hAnsi="宋体" w:eastAsia="宋体" w:cs="Times New Roman"/>
          <w:color w:val="000000" w:themeColor="text1"/>
          <w:sz w:val="24"/>
          <w:lang w:val="en-US" w:eastAsia="zh-CN"/>
          <w14:textFill>
            <w14:solidFill>
              <w14:schemeClr w14:val="tx1"/>
            </w14:solidFill>
          </w14:textFill>
        </w:rPr>
        <w:t>80</w:t>
      </w:r>
      <w:r>
        <w:rPr>
          <w:rFonts w:ascii="宋体" w:hAnsi="宋体" w:eastAsia="宋体" w:cs="Times New Roman"/>
          <w:color w:val="000000" w:themeColor="text1"/>
          <w:sz w:val="24"/>
          <w14:textFill>
            <w14:solidFill>
              <w14:schemeClr w14:val="tx1"/>
            </w14:solidFill>
          </w14:textFill>
        </w:rPr>
        <w:t xml:space="preserve"> 分（不含 </w:t>
      </w:r>
      <w:r>
        <w:rPr>
          <w:rFonts w:hint="eastAsia" w:ascii="宋体" w:hAnsi="宋体" w:eastAsia="宋体" w:cs="Times New Roman"/>
          <w:color w:val="000000" w:themeColor="text1"/>
          <w:sz w:val="24"/>
          <w:lang w:val="en-US" w:eastAsia="zh-CN"/>
          <w14:textFill>
            <w14:solidFill>
              <w14:schemeClr w14:val="tx1"/>
            </w14:solidFill>
          </w14:textFill>
        </w:rPr>
        <w:t>80</w:t>
      </w:r>
      <w:r>
        <w:rPr>
          <w:rFonts w:ascii="宋体" w:hAnsi="宋体" w:eastAsia="宋体" w:cs="Times New Roman"/>
          <w:color w:val="000000" w:themeColor="text1"/>
          <w:sz w:val="24"/>
          <w14:textFill>
            <w14:solidFill>
              <w14:schemeClr w14:val="tx1"/>
            </w14:solidFill>
          </w14:textFill>
        </w:rPr>
        <w:t xml:space="preserve"> 分）以下、每低 1 分扣中标人履约保证金 500</w:t>
      </w:r>
      <w:r>
        <w:rPr>
          <w:rFonts w:hint="eastAsia" w:ascii="宋体" w:hAnsi="宋体" w:eastAsia="宋体" w:cs="Times New Roman"/>
          <w:color w:val="000000" w:themeColor="text1"/>
          <w:sz w:val="24"/>
          <w14:textFill>
            <w14:solidFill>
              <w14:schemeClr w14:val="tx1"/>
            </w14:solidFill>
          </w14:textFill>
        </w:rPr>
        <w:t>元。</w:t>
      </w:r>
    </w:p>
    <w:p>
      <w:pPr>
        <w:spacing w:line="460" w:lineRule="exact"/>
        <w:ind w:right="160" w:firstLine="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2、被省、市、区媒体曝光，确属本职工作失误或失职，造成不良影响的，在当月总分中扣 4 分。</w:t>
      </w:r>
    </w:p>
    <w:p>
      <w:pPr>
        <w:spacing w:line="460" w:lineRule="exact"/>
        <w:ind w:right="160" w:firstLine="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3、在法定节假日和省、市重大活动期间，因管理不到位，群众反映强烈的，在当月总分中扣 3 分。</w:t>
      </w:r>
    </w:p>
    <w:p>
      <w:pPr>
        <w:spacing w:line="460" w:lineRule="exact"/>
        <w:ind w:right="140" w:firstLine="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 xml:space="preserve">4、连续两个月考核在 </w:t>
      </w:r>
      <w:r>
        <w:rPr>
          <w:rFonts w:hint="eastAsia" w:ascii="宋体" w:hAnsi="宋体" w:eastAsia="宋体" w:cs="Times New Roman"/>
          <w:color w:val="000000" w:themeColor="text1"/>
          <w:sz w:val="24"/>
          <w:lang w:val="en-US" w:eastAsia="zh-CN"/>
          <w14:textFill>
            <w14:solidFill>
              <w14:schemeClr w14:val="tx1"/>
            </w14:solidFill>
          </w14:textFill>
        </w:rPr>
        <w:t>80</w:t>
      </w:r>
      <w:r>
        <w:rPr>
          <w:rFonts w:ascii="宋体" w:hAnsi="宋体" w:eastAsia="宋体" w:cs="Times New Roman"/>
          <w:color w:val="000000" w:themeColor="text1"/>
          <w:sz w:val="24"/>
          <w14:textFill>
            <w14:solidFill>
              <w14:schemeClr w14:val="tx1"/>
            </w14:solidFill>
          </w14:textFill>
        </w:rPr>
        <w:t xml:space="preserve"> 分以下的或一年平均考核在</w:t>
      </w:r>
      <w:r>
        <w:rPr>
          <w:rFonts w:hint="eastAsia" w:ascii="宋体" w:hAnsi="宋体" w:eastAsia="宋体" w:cs="Times New Roman"/>
          <w:color w:val="000000" w:themeColor="text1"/>
          <w:sz w:val="24"/>
          <w:lang w:val="en-US" w:eastAsia="zh-CN"/>
          <w14:textFill>
            <w14:solidFill>
              <w14:schemeClr w14:val="tx1"/>
            </w14:solidFill>
          </w14:textFill>
        </w:rPr>
        <w:t>80</w:t>
      </w:r>
      <w:r>
        <w:rPr>
          <w:rFonts w:ascii="宋体" w:hAnsi="宋体" w:eastAsia="宋体" w:cs="Times New Roman"/>
          <w:color w:val="000000" w:themeColor="text1"/>
          <w:sz w:val="24"/>
          <w14:textFill>
            <w14:solidFill>
              <w14:schemeClr w14:val="tx1"/>
            </w14:solidFill>
          </w14:textFill>
        </w:rPr>
        <w:t xml:space="preserve"> 分以下的的，发包方有权随时终止合同，造成的影响和损失由承包方承担，履约保证金不退还。</w:t>
      </w:r>
    </w:p>
    <w:p>
      <w:pPr>
        <w:spacing w:line="460" w:lineRule="exact"/>
        <w:ind w:left="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（五）考核评分细则</w:t>
      </w:r>
    </w:p>
    <w:p>
      <w:pPr>
        <w:spacing w:line="460" w:lineRule="exact"/>
        <w:ind w:left="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1、综合管理服务标准（20 分）</w:t>
      </w:r>
    </w:p>
    <w:p>
      <w:pPr>
        <w:spacing w:line="460" w:lineRule="exact"/>
        <w:ind w:left="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2、公共区域清洁卫生服务和绿化服务标准（20 分）</w:t>
      </w:r>
    </w:p>
    <w:p>
      <w:pPr>
        <w:spacing w:line="460" w:lineRule="exact"/>
        <w:ind w:left="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3、公共区域秩序维护服务标准（20 分）</w:t>
      </w:r>
    </w:p>
    <w:p>
      <w:pPr>
        <w:spacing w:line="460" w:lineRule="exact"/>
        <w:ind w:left="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4、公共部位、共用设备设施日常运行、养护、维修服务标准（20 分）</w:t>
      </w:r>
    </w:p>
    <w:p>
      <w:pPr>
        <w:spacing w:line="460" w:lineRule="exact"/>
        <w:ind w:left="480"/>
        <w:rPr>
          <w:rFonts w:ascii="Times New Roman" w:hAnsi="Times New Roman" w:eastAsia="Times New Roman" w:cs="Times New Roman"/>
          <w:color w:val="000000" w:themeColor="text1"/>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5、员工配备的数量、岗位条件符合情况及保险等福利落实情况（10 分）</w:t>
      </w:r>
    </w:p>
    <w:p>
      <w:pPr>
        <w:spacing w:line="460" w:lineRule="exact"/>
        <w:ind w:left="560" w:right="120" w:hanging="75"/>
        <w:rPr>
          <w:rFonts w:hint="eastAsia" w:ascii="宋体" w:hAnsi="宋体" w:eastAsia="宋体" w:cs="Times New Roman"/>
          <w:color w:val="000000" w:themeColor="text1"/>
          <w:sz w:val="24"/>
          <w14:textFill>
            <w14:solidFill>
              <w14:schemeClr w14:val="tx1"/>
            </w14:solidFill>
          </w14:textFill>
        </w:rPr>
      </w:pPr>
      <w:r>
        <w:rPr>
          <w:rFonts w:ascii="宋体" w:hAnsi="宋体" w:eastAsia="宋体" w:cs="Times New Roman"/>
          <w:color w:val="000000" w:themeColor="text1"/>
          <w:sz w:val="24"/>
          <w14:textFill>
            <w14:solidFill>
              <w14:schemeClr w14:val="tx1"/>
            </w14:solidFill>
          </w14:textFill>
        </w:rPr>
        <w:t xml:space="preserve">6、其它服务（10 分） </w:t>
      </w:r>
      <w:r>
        <w:rPr>
          <w:rFonts w:hint="eastAsia" w:ascii="宋体" w:hAnsi="宋体" w:eastAsia="宋体" w:cs="Times New Roman"/>
          <w:color w:val="000000" w:themeColor="text1"/>
          <w:sz w:val="24"/>
          <w:lang w:eastAsia="zh-CN"/>
          <w14:textFill>
            <w14:solidFill>
              <w14:schemeClr w14:val="tx1"/>
            </w14:solidFill>
          </w14:textFill>
        </w:rPr>
        <w:t>（</w:t>
      </w:r>
      <w:r>
        <w:rPr>
          <w:rFonts w:ascii="宋体" w:hAnsi="宋体" w:eastAsia="宋体" w:cs="Times New Roman"/>
          <w:color w:val="000000" w:themeColor="text1"/>
          <w:sz w:val="24"/>
          <w14:textFill>
            <w14:solidFill>
              <w14:schemeClr w14:val="tx1"/>
            </w14:solidFill>
          </w14:textFill>
        </w:rPr>
        <w:t>考核内容：诚信服务、装饰装修管理</w:t>
      </w:r>
      <w:r>
        <w:rPr>
          <w:rFonts w:hint="eastAsia" w:ascii="宋体" w:hAnsi="宋体" w:eastAsia="宋体" w:cs="Times New Roman"/>
          <w:color w:val="000000" w:themeColor="text1"/>
          <w:sz w:val="24"/>
          <w:lang w:eastAsia="zh-CN"/>
          <w14:textFill>
            <w14:solidFill>
              <w14:schemeClr w14:val="tx1"/>
            </w14:solidFill>
          </w14:textFill>
        </w:rPr>
        <w:t>及业主请中标人代办的其他工作</w:t>
      </w:r>
      <w:r>
        <w:rPr>
          <w:rFonts w:ascii="宋体" w:hAnsi="宋体" w:eastAsia="宋体" w:cs="Times New Roman"/>
          <w:color w:val="000000" w:themeColor="text1"/>
          <w:sz w:val="24"/>
          <w14:textFill>
            <w14:solidFill>
              <w14:schemeClr w14:val="tx1"/>
            </w14:solidFill>
          </w14:textFill>
        </w:rPr>
        <w:t>。</w:t>
      </w:r>
      <w:r>
        <w:rPr>
          <w:rFonts w:hint="eastAsia" w:ascii="宋体" w:hAnsi="宋体" w:eastAsia="宋体" w:cs="Times New Roman"/>
          <w:color w:val="000000" w:themeColor="text1"/>
          <w:sz w:val="24"/>
          <w:lang w:eastAsia="zh-CN"/>
          <w14:textFill>
            <w14:solidFill>
              <w14:schemeClr w14:val="tx1"/>
            </w14:solidFill>
          </w14:textFill>
        </w:rPr>
        <w:t>）</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0CA1E8"/>
    <w:multiLevelType w:val="singleLevel"/>
    <w:tmpl w:val="9B0CA1E8"/>
    <w:lvl w:ilvl="0" w:tentative="0">
      <w:start w:val="3"/>
      <w:numFmt w:val="decimal"/>
      <w:suff w:val="nothing"/>
      <w:lvlText w:val="%1）"/>
      <w:lvlJc w:val="left"/>
    </w:lvl>
  </w:abstractNum>
  <w:abstractNum w:abstractNumId="1">
    <w:nsid w:val="4B7453EA"/>
    <w:multiLevelType w:val="multilevel"/>
    <w:tmpl w:val="4B7453EA"/>
    <w:lvl w:ilvl="0" w:tentative="0">
      <w:start w:val="1"/>
      <w:numFmt w:val="japaneseCounting"/>
      <w:lvlText w:val="%1、"/>
      <w:lvlJc w:val="left"/>
      <w:pPr>
        <w:ind w:left="989" w:hanging="510"/>
      </w:pPr>
      <w:rPr>
        <w:rFonts w:hint="default"/>
        <w:b/>
      </w:rPr>
    </w:lvl>
    <w:lvl w:ilvl="1" w:tentative="0">
      <w:start w:val="1"/>
      <w:numFmt w:val="lowerLetter"/>
      <w:lvlText w:val="%2)"/>
      <w:lvlJc w:val="left"/>
      <w:pPr>
        <w:ind w:left="1319" w:hanging="420"/>
      </w:pPr>
    </w:lvl>
    <w:lvl w:ilvl="2" w:tentative="0">
      <w:start w:val="1"/>
      <w:numFmt w:val="lowerRoman"/>
      <w:lvlText w:val="%3."/>
      <w:lvlJc w:val="right"/>
      <w:pPr>
        <w:ind w:left="1739" w:hanging="420"/>
      </w:pPr>
    </w:lvl>
    <w:lvl w:ilvl="3" w:tentative="0">
      <w:start w:val="1"/>
      <w:numFmt w:val="decimal"/>
      <w:lvlText w:val="%4."/>
      <w:lvlJc w:val="left"/>
      <w:pPr>
        <w:ind w:left="2159" w:hanging="420"/>
      </w:pPr>
    </w:lvl>
    <w:lvl w:ilvl="4" w:tentative="0">
      <w:start w:val="1"/>
      <w:numFmt w:val="lowerLetter"/>
      <w:lvlText w:val="%5)"/>
      <w:lvlJc w:val="left"/>
      <w:pPr>
        <w:ind w:left="2579" w:hanging="420"/>
      </w:pPr>
    </w:lvl>
    <w:lvl w:ilvl="5" w:tentative="0">
      <w:start w:val="1"/>
      <w:numFmt w:val="lowerRoman"/>
      <w:lvlText w:val="%6."/>
      <w:lvlJc w:val="right"/>
      <w:pPr>
        <w:ind w:left="2999" w:hanging="420"/>
      </w:pPr>
    </w:lvl>
    <w:lvl w:ilvl="6" w:tentative="0">
      <w:start w:val="1"/>
      <w:numFmt w:val="decimal"/>
      <w:lvlText w:val="%7."/>
      <w:lvlJc w:val="left"/>
      <w:pPr>
        <w:ind w:left="3419" w:hanging="420"/>
      </w:pPr>
    </w:lvl>
    <w:lvl w:ilvl="7" w:tentative="0">
      <w:start w:val="1"/>
      <w:numFmt w:val="lowerLetter"/>
      <w:lvlText w:val="%8)"/>
      <w:lvlJc w:val="left"/>
      <w:pPr>
        <w:ind w:left="3839" w:hanging="420"/>
      </w:pPr>
    </w:lvl>
    <w:lvl w:ilvl="8" w:tentative="0">
      <w:start w:val="1"/>
      <w:numFmt w:val="lowerRoman"/>
      <w:lvlText w:val="%9."/>
      <w:lvlJc w:val="right"/>
      <w:pPr>
        <w:ind w:left="4259" w:hanging="420"/>
      </w:pPr>
    </w:lvl>
  </w:abstractNum>
  <w:abstractNum w:abstractNumId="2">
    <w:nsid w:val="59C87D37"/>
    <w:multiLevelType w:val="singleLevel"/>
    <w:tmpl w:val="59C87D37"/>
    <w:lvl w:ilvl="0" w:tentative="0">
      <w:start w:val="2"/>
      <w:numFmt w:val="chineseCounting"/>
      <w:suff w:val="nothing"/>
      <w:lvlText w:val="%1、"/>
      <w:lvlJc w:val="left"/>
    </w:lvl>
  </w:abstractNum>
  <w:abstractNum w:abstractNumId="3">
    <w:nsid w:val="5A35EDD6"/>
    <w:multiLevelType w:val="singleLevel"/>
    <w:tmpl w:val="5A35EDD6"/>
    <w:lvl w:ilvl="0" w:tentative="0">
      <w:start w:val="1"/>
      <w:numFmt w:val="decimal"/>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1D4FC3"/>
    <w:rsid w:val="751D4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qFormat/>
    <w:uiPriority w:val="0"/>
    <w:pPr>
      <w:ind w:firstLine="660"/>
    </w:pPr>
    <w:rPr>
      <w:rFonts w:ascii="宋体" w:hAnsi="宋体"/>
      <w:color w:val="000000"/>
      <w:sz w:val="24"/>
    </w:rPr>
  </w:style>
  <w:style w:type="paragraph" w:styleId="4">
    <w:name w:val="envelope return"/>
    <w:basedOn w:val="1"/>
    <w:unhideWhenUsed/>
    <w:qFormat/>
    <w:uiPriority w:val="99"/>
    <w:pPr>
      <w:snapToGrid w:val="0"/>
    </w:pPr>
    <w:rPr>
      <w:rFonts w:ascii="Arial" w:hAnsi="Arial"/>
    </w:rPr>
  </w:style>
  <w:style w:type="table" w:styleId="6">
    <w:name w:val="Table Grid"/>
    <w:basedOn w:val="5"/>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2021-01-11T03:15:00Z</dcterms:created>
  <dc:creator>将心比心</dc:creator>
  <cp:lastModifiedBy>将心比心</cp:lastModifiedBy>
  <dcterms:modified xsi:type="dcterms:W3CDTF">2021-01-11T03:15:45Z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