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rPr>
      </w:pPr>
      <w:r>
        <w:rPr>
          <w:rFonts w:hint="eastAsia" w:ascii="仿宋" w:hAnsi="仿宋" w:eastAsia="仿宋" w:cs="仿宋"/>
        </w:rPr>
        <w:t xml:space="preserve"> </w:t>
      </w:r>
    </w:p>
    <w:p>
      <w:pPr>
        <w:jc w:val="center"/>
        <w:rPr>
          <w:rFonts w:hint="eastAsia" w:ascii="新宋体" w:hAnsi="新宋体" w:eastAsia="新宋体" w:cs="新宋体"/>
          <w:b/>
          <w:bCs/>
          <w:sz w:val="48"/>
          <w:szCs w:val="48"/>
          <w:lang w:eastAsia="zh-CN"/>
        </w:rPr>
      </w:pPr>
      <w:r>
        <w:rPr>
          <w:rFonts w:hint="eastAsia" w:ascii="新宋体" w:hAnsi="新宋体" w:eastAsia="新宋体" w:cs="新宋体"/>
          <w:b/>
          <w:bCs/>
          <w:sz w:val="48"/>
          <w:szCs w:val="48"/>
          <w:lang w:eastAsia="zh-CN"/>
        </w:rPr>
        <w:t>阜阳市颍泉区金马爱梦天宸前期物业管理项目</w:t>
      </w:r>
    </w:p>
    <w:p>
      <w:pPr>
        <w:pStyle w:val="16"/>
        <w:rPr>
          <w:rFonts w:hint="eastAsia" w:ascii="新宋体" w:hAnsi="新宋体" w:eastAsia="新宋体" w:cs="新宋体"/>
          <w:b/>
          <w:bCs/>
          <w:sz w:val="48"/>
          <w:szCs w:val="48"/>
          <w:lang w:eastAsia="zh-CN"/>
        </w:rPr>
      </w:pPr>
    </w:p>
    <w:p>
      <w:pPr>
        <w:pStyle w:val="16"/>
        <w:rPr>
          <w:rFonts w:hint="eastAsia" w:ascii="新宋体" w:hAnsi="新宋体" w:eastAsia="新宋体" w:cs="新宋体"/>
          <w:b/>
          <w:bCs/>
          <w:sz w:val="48"/>
          <w:szCs w:val="48"/>
          <w:lang w:eastAsia="zh-CN"/>
        </w:rPr>
      </w:pPr>
    </w:p>
    <w:p>
      <w:pPr>
        <w:pStyle w:val="16"/>
        <w:rPr>
          <w:rFonts w:hint="eastAsia" w:ascii="新宋体" w:hAnsi="新宋体" w:eastAsia="新宋体" w:cs="新宋体"/>
          <w:b/>
          <w:bCs/>
          <w:sz w:val="48"/>
          <w:szCs w:val="48"/>
          <w:lang w:eastAsia="zh-CN"/>
        </w:rPr>
      </w:pPr>
    </w:p>
    <w:p>
      <w:pPr>
        <w:jc w:val="center"/>
        <w:rPr>
          <w:rFonts w:hint="eastAsia" w:ascii="新宋体" w:hAnsi="新宋体" w:eastAsia="新宋体" w:cs="新宋体"/>
          <w:b/>
          <w:bCs/>
          <w:iCs/>
          <w:sz w:val="72"/>
          <w:szCs w:val="72"/>
        </w:rPr>
      </w:pPr>
      <w:r>
        <w:rPr>
          <w:rFonts w:hint="eastAsia" w:ascii="新宋体" w:hAnsi="新宋体" w:eastAsia="新宋体" w:cs="新宋体"/>
          <w:b/>
          <w:sz w:val="72"/>
          <w:szCs w:val="72"/>
        </w:rPr>
        <w:t>招 标 文 件</w:t>
      </w:r>
    </w:p>
    <w:p>
      <w:pPr>
        <w:jc w:val="center"/>
        <w:rPr>
          <w:rFonts w:hint="eastAsia" w:ascii="新宋体" w:hAnsi="新宋体" w:eastAsia="新宋体" w:cs="新宋体"/>
          <w:b/>
          <w:sz w:val="30"/>
        </w:rPr>
      </w:pPr>
    </w:p>
    <w:p>
      <w:pPr>
        <w:jc w:val="center"/>
        <w:rPr>
          <w:rFonts w:hint="eastAsia" w:ascii="新宋体" w:hAnsi="新宋体" w:eastAsia="新宋体" w:cs="新宋体"/>
          <w:bCs/>
          <w:spacing w:val="44"/>
          <w:sz w:val="32"/>
          <w:szCs w:val="32"/>
        </w:rPr>
      </w:pPr>
    </w:p>
    <w:p>
      <w:pPr>
        <w:jc w:val="center"/>
        <w:rPr>
          <w:rFonts w:hint="eastAsia" w:ascii="新宋体" w:hAnsi="新宋体" w:eastAsia="新宋体" w:cs="新宋体"/>
          <w:sz w:val="32"/>
          <w:szCs w:val="32"/>
        </w:rPr>
      </w:pPr>
      <w:r>
        <w:rPr>
          <w:rFonts w:hint="eastAsia" w:ascii="新宋体" w:hAnsi="新宋体" w:eastAsia="新宋体" w:cs="新宋体"/>
          <w:bCs/>
          <w:spacing w:val="44"/>
          <w:sz w:val="32"/>
          <w:szCs w:val="32"/>
        </w:rPr>
        <w:t>项目编号：</w:t>
      </w:r>
      <w:r>
        <w:rPr>
          <w:rFonts w:hint="eastAsia" w:ascii="新宋体" w:hAnsi="新宋体" w:eastAsia="新宋体" w:cs="新宋体"/>
          <w:bCs/>
          <w:spacing w:val="44"/>
          <w:sz w:val="32"/>
          <w:szCs w:val="32"/>
          <w:lang w:val="en-US" w:eastAsia="zh-CN"/>
        </w:rPr>
        <w:t>YH</w:t>
      </w:r>
      <w:r>
        <w:rPr>
          <w:rFonts w:hint="eastAsia" w:ascii="新宋体" w:hAnsi="新宋体" w:eastAsia="新宋体" w:cs="新宋体"/>
          <w:bCs/>
          <w:spacing w:val="44"/>
          <w:sz w:val="32"/>
          <w:szCs w:val="32"/>
        </w:rPr>
        <w:t>ZB【202</w:t>
      </w:r>
      <w:r>
        <w:rPr>
          <w:rFonts w:hint="eastAsia" w:ascii="新宋体" w:hAnsi="新宋体" w:eastAsia="新宋体" w:cs="新宋体"/>
          <w:bCs/>
          <w:spacing w:val="44"/>
          <w:sz w:val="32"/>
          <w:szCs w:val="32"/>
          <w:lang w:val="en-US" w:eastAsia="zh-CN"/>
        </w:rPr>
        <w:t>1</w:t>
      </w:r>
      <w:r>
        <w:rPr>
          <w:rFonts w:hint="eastAsia" w:ascii="新宋体" w:hAnsi="新宋体" w:eastAsia="新宋体" w:cs="新宋体"/>
          <w:bCs/>
          <w:spacing w:val="44"/>
          <w:sz w:val="32"/>
          <w:szCs w:val="32"/>
        </w:rPr>
        <w:t>】</w:t>
      </w:r>
      <w:r>
        <w:rPr>
          <w:rFonts w:hint="eastAsia" w:ascii="新宋体" w:hAnsi="新宋体" w:eastAsia="新宋体" w:cs="新宋体"/>
          <w:bCs/>
          <w:spacing w:val="44"/>
          <w:sz w:val="32"/>
          <w:szCs w:val="32"/>
          <w:lang w:val="en-US" w:eastAsia="zh-CN"/>
        </w:rPr>
        <w:t>052</w:t>
      </w:r>
      <w:r>
        <w:rPr>
          <w:rFonts w:hint="eastAsia" w:ascii="新宋体" w:hAnsi="新宋体" w:eastAsia="新宋体" w:cs="新宋体"/>
          <w:bCs/>
          <w:spacing w:val="44"/>
          <w:sz w:val="32"/>
          <w:szCs w:val="32"/>
        </w:rPr>
        <w:t>号</w:t>
      </w:r>
    </w:p>
    <w:p>
      <w:pPr>
        <w:pStyle w:val="16"/>
        <w:ind w:left="0" w:leftChars="0" w:firstLine="0" w:firstLineChars="0"/>
        <w:rPr>
          <w:rFonts w:hint="eastAsia" w:ascii="新宋体" w:hAnsi="新宋体" w:eastAsia="新宋体" w:cs="新宋体"/>
        </w:rPr>
      </w:pPr>
    </w:p>
    <w:p>
      <w:pPr>
        <w:pStyle w:val="16"/>
        <w:ind w:left="0" w:leftChars="0" w:firstLine="0" w:firstLineChars="0"/>
        <w:rPr>
          <w:rFonts w:hint="eastAsia" w:ascii="新宋体" w:hAnsi="新宋体" w:eastAsia="新宋体" w:cs="新宋体"/>
        </w:rPr>
      </w:pPr>
    </w:p>
    <w:p>
      <w:pPr>
        <w:pStyle w:val="16"/>
        <w:ind w:left="0" w:leftChars="0" w:firstLine="0" w:firstLineChars="0"/>
        <w:rPr>
          <w:rFonts w:hint="eastAsia" w:ascii="新宋体" w:hAnsi="新宋体" w:eastAsia="新宋体" w:cs="新宋体"/>
        </w:rPr>
      </w:pPr>
    </w:p>
    <w:p>
      <w:pPr>
        <w:pStyle w:val="16"/>
        <w:ind w:left="0" w:leftChars="0" w:firstLine="0" w:firstLineChars="0"/>
        <w:rPr>
          <w:rFonts w:hint="eastAsia" w:ascii="新宋体" w:hAnsi="新宋体" w:eastAsia="新宋体" w:cs="新宋体"/>
        </w:rPr>
      </w:pPr>
    </w:p>
    <w:p>
      <w:pPr>
        <w:pStyle w:val="16"/>
        <w:ind w:left="0" w:leftChars="0" w:firstLine="0" w:firstLineChars="0"/>
        <w:rPr>
          <w:rFonts w:hint="eastAsia" w:ascii="新宋体" w:hAnsi="新宋体" w:eastAsia="新宋体" w:cs="新宋体"/>
        </w:rPr>
      </w:pPr>
    </w:p>
    <w:p>
      <w:pPr>
        <w:pStyle w:val="16"/>
        <w:ind w:left="0" w:leftChars="0" w:firstLine="0" w:firstLineChars="0"/>
        <w:rPr>
          <w:rFonts w:hint="eastAsia" w:ascii="新宋体" w:hAnsi="新宋体" w:eastAsia="新宋体" w:cs="新宋体"/>
        </w:rPr>
      </w:pPr>
    </w:p>
    <w:p>
      <w:pPr>
        <w:adjustRightInd w:val="0"/>
        <w:snapToGrid w:val="0"/>
        <w:ind w:left="420" w:leftChars="200"/>
        <w:rPr>
          <w:rFonts w:hint="eastAsia" w:ascii="新宋体" w:hAnsi="新宋体" w:eastAsia="新宋体" w:cs="新宋体"/>
          <w:sz w:val="32"/>
          <w:szCs w:val="32"/>
        </w:rPr>
      </w:pPr>
    </w:p>
    <w:p>
      <w:pPr>
        <w:adjustRightInd w:val="0"/>
        <w:snapToGrid w:val="0"/>
        <w:ind w:left="420" w:leftChars="200"/>
        <w:rPr>
          <w:rFonts w:hint="eastAsia" w:ascii="新宋体" w:hAnsi="新宋体" w:eastAsia="新宋体" w:cs="新宋体"/>
          <w:bCs/>
          <w:iCs/>
          <w:sz w:val="32"/>
          <w:szCs w:val="32"/>
        </w:rPr>
      </w:pPr>
    </w:p>
    <w:p>
      <w:pPr>
        <w:pStyle w:val="16"/>
        <w:rPr>
          <w:rFonts w:hint="eastAsia" w:ascii="新宋体" w:hAnsi="新宋体" w:eastAsia="新宋体" w:cs="新宋体"/>
          <w:bCs/>
          <w:iCs/>
          <w:sz w:val="32"/>
          <w:szCs w:val="32"/>
        </w:rPr>
      </w:pPr>
    </w:p>
    <w:p>
      <w:pPr>
        <w:pStyle w:val="16"/>
        <w:ind w:left="0" w:leftChars="0" w:firstLine="0" w:firstLineChars="0"/>
        <w:rPr>
          <w:rFonts w:hint="eastAsia" w:ascii="新宋体" w:hAnsi="新宋体" w:eastAsia="新宋体" w:cs="新宋体"/>
          <w:bCs/>
          <w:iCs/>
          <w:sz w:val="32"/>
          <w:szCs w:val="32"/>
        </w:rPr>
      </w:pPr>
    </w:p>
    <w:p>
      <w:pPr>
        <w:adjustRightInd w:val="0"/>
        <w:snapToGrid w:val="0"/>
        <w:ind w:left="420" w:leftChars="200"/>
        <w:rPr>
          <w:rFonts w:hint="eastAsia" w:ascii="新宋体" w:hAnsi="新宋体" w:eastAsia="新宋体" w:cs="新宋体"/>
          <w:bCs/>
          <w:iCs/>
          <w:sz w:val="32"/>
          <w:szCs w:val="32"/>
        </w:rPr>
      </w:pPr>
    </w:p>
    <w:p>
      <w:pPr>
        <w:adjustRightInd w:val="0"/>
        <w:snapToGrid w:val="0"/>
        <w:ind w:left="420" w:leftChars="200"/>
        <w:rPr>
          <w:rFonts w:hint="eastAsia" w:ascii="新宋体" w:hAnsi="新宋体" w:eastAsia="新宋体" w:cs="新宋体"/>
          <w:bCs/>
          <w:iCs/>
          <w:sz w:val="32"/>
          <w:szCs w:val="32"/>
          <w:u w:val="single"/>
        </w:rPr>
      </w:pPr>
      <w:r>
        <w:rPr>
          <w:rFonts w:hint="eastAsia" w:ascii="新宋体" w:hAnsi="新宋体" w:eastAsia="新宋体" w:cs="新宋体"/>
          <w:bCs/>
          <w:iCs/>
          <w:sz w:val="32"/>
          <w:szCs w:val="32"/>
        </w:rPr>
        <w:t>招</w:t>
      </w:r>
      <w:r>
        <w:rPr>
          <w:rFonts w:hint="eastAsia" w:ascii="新宋体" w:hAnsi="新宋体" w:eastAsia="新宋体" w:cs="新宋体"/>
          <w:bCs/>
          <w:iCs/>
          <w:sz w:val="32"/>
          <w:szCs w:val="32"/>
          <w:lang w:val="en-US" w:eastAsia="zh-CN"/>
        </w:rPr>
        <w:t xml:space="preserve"> </w:t>
      </w:r>
      <w:r>
        <w:rPr>
          <w:rFonts w:hint="eastAsia" w:ascii="新宋体" w:hAnsi="新宋体" w:eastAsia="新宋体" w:cs="新宋体"/>
          <w:bCs/>
          <w:iCs/>
          <w:sz w:val="32"/>
          <w:szCs w:val="32"/>
        </w:rPr>
        <w:t>标</w:t>
      </w:r>
      <w:r>
        <w:rPr>
          <w:rFonts w:hint="eastAsia" w:ascii="新宋体" w:hAnsi="新宋体" w:eastAsia="新宋体" w:cs="新宋体"/>
          <w:bCs/>
          <w:iCs/>
          <w:sz w:val="32"/>
          <w:szCs w:val="32"/>
          <w:lang w:val="en-US" w:eastAsia="zh-CN"/>
        </w:rPr>
        <w:t xml:space="preserve"> </w:t>
      </w:r>
      <w:r>
        <w:rPr>
          <w:rFonts w:hint="eastAsia" w:ascii="新宋体" w:hAnsi="新宋体" w:eastAsia="新宋体" w:cs="新宋体"/>
          <w:bCs/>
          <w:iCs/>
          <w:sz w:val="32"/>
          <w:szCs w:val="32"/>
        </w:rPr>
        <w:t>单</w:t>
      </w:r>
      <w:r>
        <w:rPr>
          <w:rFonts w:hint="eastAsia" w:ascii="新宋体" w:hAnsi="新宋体" w:eastAsia="新宋体" w:cs="新宋体"/>
          <w:bCs/>
          <w:iCs/>
          <w:sz w:val="32"/>
          <w:szCs w:val="32"/>
          <w:lang w:val="en-US" w:eastAsia="zh-CN"/>
        </w:rPr>
        <w:t xml:space="preserve"> </w:t>
      </w:r>
      <w:r>
        <w:rPr>
          <w:rFonts w:hint="eastAsia" w:ascii="新宋体" w:hAnsi="新宋体" w:eastAsia="新宋体" w:cs="新宋体"/>
          <w:bCs/>
          <w:iCs/>
          <w:sz w:val="32"/>
          <w:szCs w:val="32"/>
        </w:rPr>
        <w:t>位：</w:t>
      </w:r>
      <w:r>
        <w:rPr>
          <w:rFonts w:hint="eastAsia" w:ascii="新宋体" w:hAnsi="新宋体" w:eastAsia="新宋体" w:cs="新宋体"/>
          <w:bCs/>
          <w:iCs/>
          <w:sz w:val="32"/>
          <w:szCs w:val="32"/>
          <w:u w:val="single"/>
          <w:lang w:val="en-US" w:eastAsia="zh-CN"/>
        </w:rPr>
        <w:t xml:space="preserve">     </w:t>
      </w:r>
      <w:r>
        <w:rPr>
          <w:rFonts w:hint="eastAsia" w:ascii="新宋体" w:hAnsi="新宋体" w:eastAsia="新宋体" w:cs="新宋体"/>
          <w:bCs/>
          <w:iCs/>
          <w:sz w:val="32"/>
          <w:szCs w:val="32"/>
          <w:u w:val="single"/>
        </w:rPr>
        <w:t>阜阳市马梦置业有限公司 （盖章）</w:t>
      </w:r>
    </w:p>
    <w:p>
      <w:pPr>
        <w:adjustRightInd w:val="0"/>
        <w:snapToGrid w:val="0"/>
        <w:ind w:left="420" w:leftChars="200"/>
        <w:rPr>
          <w:rFonts w:hint="eastAsia" w:ascii="新宋体" w:hAnsi="新宋体" w:eastAsia="新宋体" w:cs="新宋体"/>
          <w:bCs/>
          <w:iCs/>
          <w:sz w:val="32"/>
          <w:szCs w:val="32"/>
          <w:u w:val="single"/>
        </w:rPr>
      </w:pPr>
    </w:p>
    <w:p>
      <w:pPr>
        <w:adjustRightInd w:val="0"/>
        <w:snapToGrid w:val="0"/>
        <w:ind w:left="420" w:leftChars="200"/>
        <w:rPr>
          <w:rFonts w:hint="eastAsia" w:ascii="新宋体" w:hAnsi="新宋体" w:eastAsia="新宋体" w:cs="新宋体"/>
          <w:bCs/>
          <w:iCs/>
          <w:sz w:val="32"/>
          <w:szCs w:val="32"/>
        </w:rPr>
      </w:pPr>
    </w:p>
    <w:p>
      <w:pPr>
        <w:adjustRightInd w:val="0"/>
        <w:snapToGrid w:val="0"/>
        <w:rPr>
          <w:rFonts w:hint="eastAsia" w:ascii="新宋体" w:hAnsi="新宋体" w:eastAsia="新宋体" w:cs="新宋体"/>
          <w:bCs/>
          <w:iCs/>
          <w:sz w:val="32"/>
          <w:szCs w:val="32"/>
        </w:rPr>
      </w:pPr>
    </w:p>
    <w:p>
      <w:pPr>
        <w:adjustRightInd w:val="0"/>
        <w:snapToGrid w:val="0"/>
        <w:ind w:left="420" w:leftChars="200"/>
        <w:rPr>
          <w:rFonts w:hint="eastAsia" w:ascii="新宋体" w:hAnsi="新宋体" w:eastAsia="新宋体" w:cs="新宋体"/>
          <w:bCs/>
          <w:iCs/>
          <w:sz w:val="32"/>
          <w:szCs w:val="32"/>
          <w:u w:val="single"/>
        </w:rPr>
      </w:pPr>
      <w:r>
        <w:rPr>
          <w:rFonts w:hint="eastAsia" w:ascii="新宋体" w:hAnsi="新宋体" w:eastAsia="新宋体" w:cs="新宋体"/>
          <w:bCs/>
          <w:spacing w:val="44"/>
          <w:sz w:val="32"/>
          <w:szCs w:val="32"/>
        </w:rPr>
        <w:t>招标代理单位：</w:t>
      </w:r>
      <w:r>
        <w:rPr>
          <w:rFonts w:hint="eastAsia" w:ascii="新宋体" w:hAnsi="新宋体" w:eastAsia="新宋体" w:cs="新宋体"/>
          <w:bCs/>
          <w:iCs/>
          <w:sz w:val="32"/>
          <w:szCs w:val="32"/>
          <w:u w:val="single"/>
          <w:lang w:eastAsia="zh-CN"/>
        </w:rPr>
        <w:t>安徽洋航项目管理有限公司</w:t>
      </w:r>
      <w:r>
        <w:rPr>
          <w:rFonts w:hint="eastAsia" w:ascii="新宋体" w:hAnsi="新宋体" w:eastAsia="新宋体" w:cs="新宋体"/>
          <w:bCs/>
          <w:iCs/>
          <w:sz w:val="32"/>
          <w:szCs w:val="32"/>
          <w:u w:val="single"/>
        </w:rPr>
        <w:t>（盖章）</w:t>
      </w:r>
    </w:p>
    <w:p>
      <w:pPr>
        <w:adjustRightInd w:val="0"/>
        <w:snapToGrid w:val="0"/>
        <w:ind w:left="420" w:leftChars="200"/>
        <w:rPr>
          <w:rFonts w:hint="eastAsia" w:ascii="新宋体" w:hAnsi="新宋体" w:eastAsia="新宋体" w:cs="新宋体"/>
          <w:bCs/>
          <w:iCs/>
          <w:sz w:val="32"/>
          <w:szCs w:val="32"/>
          <w:u w:val="single"/>
        </w:rPr>
      </w:pPr>
    </w:p>
    <w:p>
      <w:pPr>
        <w:rPr>
          <w:rFonts w:hint="eastAsia" w:ascii="新宋体" w:hAnsi="新宋体" w:eastAsia="新宋体" w:cs="新宋体"/>
          <w:b/>
          <w:bCs/>
          <w:sz w:val="24"/>
        </w:rPr>
      </w:pPr>
    </w:p>
    <w:p>
      <w:pPr>
        <w:jc w:val="center"/>
        <w:rPr>
          <w:rFonts w:hint="eastAsia" w:ascii="新宋体" w:hAnsi="新宋体" w:eastAsia="新宋体" w:cs="新宋体"/>
          <w:b/>
          <w:bCs/>
          <w:spacing w:val="46"/>
          <w:kern w:val="16"/>
          <w:sz w:val="32"/>
        </w:rPr>
      </w:pPr>
      <w:r>
        <w:rPr>
          <w:rFonts w:hint="eastAsia" w:ascii="新宋体" w:hAnsi="新宋体" w:eastAsia="新宋体" w:cs="新宋体"/>
          <w:b/>
          <w:bCs/>
          <w:spacing w:val="46"/>
          <w:kern w:val="16"/>
          <w:sz w:val="32"/>
        </w:rPr>
        <w:t>二○二</w:t>
      </w:r>
      <w:r>
        <w:rPr>
          <w:rFonts w:hint="eastAsia" w:ascii="新宋体" w:hAnsi="新宋体" w:eastAsia="新宋体" w:cs="新宋体"/>
          <w:b/>
          <w:bCs/>
          <w:spacing w:val="46"/>
          <w:kern w:val="16"/>
          <w:sz w:val="32"/>
          <w:lang w:eastAsia="zh-CN"/>
        </w:rPr>
        <w:t>一</w:t>
      </w:r>
      <w:r>
        <w:rPr>
          <w:rFonts w:hint="eastAsia" w:ascii="新宋体" w:hAnsi="新宋体" w:eastAsia="新宋体" w:cs="新宋体"/>
          <w:b/>
          <w:bCs/>
          <w:spacing w:val="46"/>
          <w:kern w:val="16"/>
          <w:sz w:val="32"/>
        </w:rPr>
        <w:t>年</w:t>
      </w:r>
      <w:r>
        <w:rPr>
          <w:rFonts w:hint="eastAsia" w:ascii="新宋体" w:hAnsi="新宋体" w:eastAsia="新宋体" w:cs="新宋体"/>
          <w:b/>
          <w:bCs/>
          <w:spacing w:val="46"/>
          <w:kern w:val="16"/>
          <w:sz w:val="32"/>
          <w:lang w:eastAsia="zh-CN"/>
        </w:rPr>
        <w:t>五</w:t>
      </w:r>
      <w:r>
        <w:rPr>
          <w:rFonts w:hint="eastAsia" w:ascii="新宋体" w:hAnsi="新宋体" w:eastAsia="新宋体" w:cs="新宋体"/>
          <w:b/>
          <w:bCs/>
          <w:spacing w:val="46"/>
          <w:kern w:val="16"/>
          <w:sz w:val="32"/>
        </w:rPr>
        <w:t>月</w:t>
      </w:r>
    </w:p>
    <w:p>
      <w:pPr>
        <w:snapToGrid w:val="0"/>
        <w:jc w:val="both"/>
        <w:rPr>
          <w:rFonts w:hint="eastAsia" w:ascii="新宋体" w:hAnsi="新宋体" w:eastAsia="新宋体" w:cs="新宋体"/>
          <w:sz w:val="48"/>
          <w:szCs w:val="48"/>
        </w:rPr>
      </w:pPr>
    </w:p>
    <w:p>
      <w:pPr>
        <w:snapToGrid w:val="0"/>
        <w:jc w:val="center"/>
        <w:rPr>
          <w:rFonts w:hint="eastAsia" w:ascii="新宋体" w:hAnsi="新宋体" w:eastAsia="新宋体" w:cs="新宋体"/>
          <w:sz w:val="48"/>
          <w:szCs w:val="48"/>
        </w:rPr>
        <w:sectPr>
          <w:headerReference r:id="rId3" w:type="default"/>
          <w:footerReference r:id="rId4" w:type="even"/>
          <w:pgSz w:w="11906" w:h="16838"/>
          <w:pgMar w:top="1270" w:right="1134" w:bottom="1270" w:left="1134" w:header="851" w:footer="992" w:gutter="0"/>
          <w:pgNumType w:fmt="decimal"/>
          <w:cols w:space="720" w:num="1"/>
          <w:titlePg/>
          <w:docGrid w:type="lines" w:linePitch="312" w:charSpace="0"/>
        </w:sectPr>
      </w:pPr>
    </w:p>
    <w:p>
      <w:pPr>
        <w:snapToGrid w:val="0"/>
        <w:rPr>
          <w:rFonts w:hint="eastAsia" w:ascii="新宋体" w:hAnsi="新宋体" w:eastAsia="新宋体" w:cs="新宋体"/>
          <w:sz w:val="32"/>
          <w:szCs w:val="32"/>
        </w:rPr>
      </w:pPr>
    </w:p>
    <w:p>
      <w:pPr>
        <w:spacing w:before="0" w:beforeLines="0" w:after="0" w:afterLines="0" w:line="240" w:lineRule="auto"/>
        <w:ind w:left="0" w:leftChars="0" w:right="0" w:rightChars="0" w:firstLine="0" w:firstLineChars="0"/>
        <w:jc w:val="center"/>
        <w:rPr>
          <w:b/>
          <w:bCs/>
          <w:sz w:val="40"/>
          <w:szCs w:val="44"/>
        </w:rPr>
      </w:pPr>
      <w:bookmarkStart w:id="0" w:name="_Hlt510343011"/>
      <w:bookmarkStart w:id="1" w:name="_Hlt510342998"/>
      <w:bookmarkStart w:id="2" w:name="_Toc257019570"/>
      <w:r>
        <w:rPr>
          <w:rFonts w:ascii="宋体" w:hAnsi="宋体" w:eastAsia="宋体"/>
          <w:b/>
          <w:bCs/>
          <w:sz w:val="40"/>
          <w:szCs w:val="44"/>
        </w:rPr>
        <w:t>目</w:t>
      </w:r>
      <w:r>
        <w:rPr>
          <w:rFonts w:hint="eastAsia" w:ascii="宋体" w:hAnsi="宋体" w:eastAsia="宋体"/>
          <w:b/>
          <w:bCs/>
          <w:sz w:val="40"/>
          <w:szCs w:val="44"/>
          <w:lang w:val="en-US" w:eastAsia="zh-CN"/>
        </w:rPr>
        <w:t xml:space="preserve">  </w:t>
      </w:r>
      <w:r>
        <w:rPr>
          <w:rFonts w:ascii="宋体" w:hAnsi="宋体" w:eastAsia="宋体"/>
          <w:b/>
          <w:bCs/>
          <w:sz w:val="40"/>
          <w:szCs w:val="44"/>
        </w:rPr>
        <w:t>录</w:t>
      </w:r>
    </w:p>
    <w:p>
      <w:pPr>
        <w:pStyle w:val="46"/>
        <w:tabs>
          <w:tab w:val="right" w:leader="dot" w:pos="9026"/>
        </w:tabs>
        <w:spacing w:line="480" w:lineRule="auto"/>
        <w:rPr>
          <w:b w:val="0"/>
          <w:bCs w:val="0"/>
          <w:sz w:val="24"/>
          <w:szCs w:val="24"/>
        </w:rPr>
      </w:pPr>
      <w:r>
        <w:rPr>
          <w:rFonts w:hint="eastAsia" w:ascii="宋体" w:hAnsi="宋体" w:cs="宋体"/>
          <w:b w:val="0"/>
          <w:bCs w:val="0"/>
          <w:sz w:val="24"/>
          <w:szCs w:val="24"/>
        </w:rPr>
        <w:fldChar w:fldCharType="begin"/>
      </w:r>
      <w:r>
        <w:rPr>
          <w:rFonts w:hint="eastAsia" w:ascii="宋体" w:hAnsi="宋体" w:cs="宋体"/>
          <w:b w:val="0"/>
          <w:bCs w:val="0"/>
          <w:sz w:val="24"/>
          <w:szCs w:val="24"/>
        </w:rPr>
        <w:instrText xml:space="preserve"> HYPERLINK \l _Toc7372 </w:instrText>
      </w:r>
      <w:r>
        <w:rPr>
          <w:rFonts w:hint="eastAsia" w:ascii="宋体" w:hAnsi="宋体" w:cs="宋体"/>
          <w:b w:val="0"/>
          <w:bCs w:val="0"/>
          <w:sz w:val="24"/>
          <w:szCs w:val="24"/>
        </w:rPr>
        <w:fldChar w:fldCharType="separate"/>
      </w:r>
      <w:r>
        <w:rPr>
          <w:rFonts w:hint="eastAsia" w:ascii="宋体" w:hAnsi="宋体" w:cs="宋体"/>
          <w:b w:val="0"/>
          <w:bCs w:val="0"/>
          <w:sz w:val="24"/>
          <w:szCs w:val="24"/>
        </w:rPr>
        <w:t>第一章  招标公告</w:t>
      </w:r>
      <w:r>
        <w:rPr>
          <w:b w:val="0"/>
          <w:bCs w:val="0"/>
          <w:sz w:val="24"/>
          <w:szCs w:val="24"/>
        </w:rPr>
        <w:tab/>
      </w:r>
      <w:r>
        <w:rPr>
          <w:rFonts w:hint="eastAsia"/>
          <w:b w:val="0"/>
          <w:bCs w:val="0"/>
          <w:sz w:val="24"/>
          <w:szCs w:val="24"/>
          <w:lang w:val="en-US" w:eastAsia="zh-CN"/>
        </w:rPr>
        <w:t>2</w:t>
      </w:r>
      <w:r>
        <w:rPr>
          <w:rFonts w:hint="eastAsia" w:ascii="宋体" w:hAnsi="宋体" w:cs="宋体"/>
          <w:b w:val="0"/>
          <w:bCs w:val="0"/>
          <w:sz w:val="24"/>
          <w:szCs w:val="24"/>
        </w:rPr>
        <w:fldChar w:fldCharType="end"/>
      </w:r>
    </w:p>
    <w:p>
      <w:pPr>
        <w:pStyle w:val="46"/>
        <w:tabs>
          <w:tab w:val="right" w:leader="dot" w:pos="9026"/>
        </w:tabs>
        <w:spacing w:line="480" w:lineRule="auto"/>
        <w:rPr>
          <w:b w:val="0"/>
          <w:bCs w:val="0"/>
          <w:sz w:val="24"/>
          <w:szCs w:val="24"/>
        </w:rPr>
      </w:pPr>
      <w:r>
        <w:rPr>
          <w:rFonts w:hint="eastAsia" w:ascii="宋体" w:hAnsi="宋体" w:cs="宋体"/>
          <w:b w:val="0"/>
          <w:bCs w:val="0"/>
          <w:sz w:val="24"/>
          <w:szCs w:val="24"/>
        </w:rPr>
        <w:fldChar w:fldCharType="begin"/>
      </w:r>
      <w:r>
        <w:rPr>
          <w:rFonts w:hint="eastAsia" w:ascii="宋体" w:hAnsi="宋体" w:cs="宋体"/>
          <w:b w:val="0"/>
          <w:bCs w:val="0"/>
          <w:sz w:val="24"/>
          <w:szCs w:val="24"/>
        </w:rPr>
        <w:instrText xml:space="preserve"> HYPERLINK \l _Toc29617 </w:instrText>
      </w:r>
      <w:r>
        <w:rPr>
          <w:rFonts w:hint="eastAsia" w:ascii="宋体" w:hAnsi="宋体" w:cs="宋体"/>
          <w:b w:val="0"/>
          <w:bCs w:val="0"/>
          <w:sz w:val="24"/>
          <w:szCs w:val="24"/>
        </w:rPr>
        <w:fldChar w:fldCharType="separate"/>
      </w:r>
      <w:r>
        <w:rPr>
          <w:rFonts w:hint="eastAsia" w:ascii="宋体" w:hAnsi="宋体" w:cs="宋体"/>
          <w:b w:val="0"/>
          <w:bCs w:val="0"/>
          <w:sz w:val="24"/>
          <w:szCs w:val="24"/>
        </w:rPr>
        <w:t>第二章  投标人须知</w:t>
      </w:r>
      <w:r>
        <w:rPr>
          <w:b w:val="0"/>
          <w:bCs w:val="0"/>
          <w:sz w:val="24"/>
          <w:szCs w:val="24"/>
        </w:rPr>
        <w:tab/>
      </w:r>
      <w:r>
        <w:rPr>
          <w:rFonts w:hint="eastAsia"/>
          <w:b w:val="0"/>
          <w:bCs w:val="0"/>
          <w:sz w:val="24"/>
          <w:szCs w:val="24"/>
          <w:lang w:val="en-US" w:eastAsia="zh-CN"/>
        </w:rPr>
        <w:t>4</w:t>
      </w:r>
      <w:r>
        <w:rPr>
          <w:rFonts w:hint="eastAsia" w:ascii="宋体" w:hAnsi="宋体" w:cs="宋体"/>
          <w:b w:val="0"/>
          <w:bCs w:val="0"/>
          <w:sz w:val="24"/>
          <w:szCs w:val="24"/>
        </w:rPr>
        <w:fldChar w:fldCharType="end"/>
      </w:r>
    </w:p>
    <w:p>
      <w:pPr>
        <w:pStyle w:val="46"/>
        <w:tabs>
          <w:tab w:val="right" w:leader="dot" w:pos="9026"/>
        </w:tabs>
        <w:spacing w:line="480" w:lineRule="auto"/>
        <w:rPr>
          <w:rFonts w:hint="eastAsia" w:eastAsia="宋体"/>
          <w:b w:val="0"/>
          <w:bCs w:val="0"/>
          <w:sz w:val="24"/>
          <w:szCs w:val="24"/>
          <w:lang w:val="en-US" w:eastAsia="zh-CN"/>
        </w:rPr>
      </w:pPr>
      <w:r>
        <w:rPr>
          <w:rFonts w:hint="eastAsia" w:ascii="宋体" w:hAnsi="宋体" w:cs="宋体"/>
          <w:b w:val="0"/>
          <w:bCs w:val="0"/>
          <w:sz w:val="24"/>
          <w:szCs w:val="24"/>
        </w:rPr>
        <w:fldChar w:fldCharType="begin"/>
      </w:r>
      <w:r>
        <w:rPr>
          <w:rFonts w:hint="eastAsia" w:ascii="宋体" w:hAnsi="宋体" w:cs="宋体"/>
          <w:b w:val="0"/>
          <w:bCs w:val="0"/>
          <w:sz w:val="24"/>
          <w:szCs w:val="24"/>
        </w:rPr>
        <w:instrText xml:space="preserve"> HYPERLINK \l _Toc3639 </w:instrText>
      </w:r>
      <w:r>
        <w:rPr>
          <w:rFonts w:hint="eastAsia" w:ascii="宋体" w:hAnsi="宋体" w:cs="宋体"/>
          <w:b w:val="0"/>
          <w:bCs w:val="0"/>
          <w:sz w:val="24"/>
          <w:szCs w:val="24"/>
        </w:rPr>
        <w:fldChar w:fldCharType="separate"/>
      </w:r>
      <w:r>
        <w:rPr>
          <w:rFonts w:hint="eastAsia" w:ascii="宋体" w:hAnsi="宋体" w:cs="宋体"/>
          <w:b w:val="0"/>
          <w:bCs w:val="0"/>
          <w:sz w:val="24"/>
          <w:szCs w:val="24"/>
        </w:rPr>
        <w:t>第三章  招标需求及技术要求</w:t>
      </w:r>
      <w:r>
        <w:rPr>
          <w:b w:val="0"/>
          <w:bCs w:val="0"/>
          <w:sz w:val="24"/>
          <w:szCs w:val="24"/>
        </w:rPr>
        <w:tab/>
      </w:r>
      <w:r>
        <w:rPr>
          <w:rFonts w:hint="eastAsia"/>
          <w:b w:val="0"/>
          <w:bCs w:val="0"/>
          <w:sz w:val="24"/>
          <w:szCs w:val="24"/>
          <w:lang w:val="en-US" w:eastAsia="zh-CN"/>
        </w:rPr>
        <w:t>1</w:t>
      </w:r>
      <w:r>
        <w:rPr>
          <w:rFonts w:hint="eastAsia" w:ascii="宋体" w:hAnsi="宋体" w:cs="宋体"/>
          <w:b w:val="0"/>
          <w:bCs w:val="0"/>
          <w:sz w:val="24"/>
          <w:szCs w:val="24"/>
        </w:rPr>
        <w:fldChar w:fldCharType="end"/>
      </w:r>
      <w:r>
        <w:rPr>
          <w:rFonts w:hint="eastAsia" w:ascii="宋体" w:hAnsi="宋体" w:cs="宋体"/>
          <w:b w:val="0"/>
          <w:bCs w:val="0"/>
          <w:sz w:val="24"/>
          <w:szCs w:val="24"/>
          <w:lang w:val="en-US" w:eastAsia="zh-CN"/>
        </w:rPr>
        <w:t>2</w:t>
      </w:r>
    </w:p>
    <w:p>
      <w:pPr>
        <w:pStyle w:val="46"/>
        <w:tabs>
          <w:tab w:val="right" w:leader="dot" w:pos="9026"/>
        </w:tabs>
        <w:spacing w:line="480" w:lineRule="auto"/>
        <w:rPr>
          <w:rFonts w:hint="eastAsia" w:eastAsia="宋体"/>
          <w:b w:val="0"/>
          <w:bCs w:val="0"/>
          <w:sz w:val="24"/>
          <w:szCs w:val="24"/>
          <w:lang w:val="en-US" w:eastAsia="zh-CN"/>
        </w:rPr>
      </w:pPr>
      <w:r>
        <w:rPr>
          <w:rFonts w:hint="eastAsia" w:ascii="宋体" w:hAnsi="宋体" w:cs="宋体"/>
          <w:b w:val="0"/>
          <w:bCs w:val="0"/>
          <w:sz w:val="24"/>
          <w:szCs w:val="24"/>
        </w:rPr>
        <w:fldChar w:fldCharType="begin"/>
      </w:r>
      <w:r>
        <w:rPr>
          <w:rFonts w:hint="eastAsia" w:ascii="宋体" w:hAnsi="宋体" w:cs="宋体"/>
          <w:b w:val="0"/>
          <w:bCs w:val="0"/>
          <w:sz w:val="24"/>
          <w:szCs w:val="24"/>
        </w:rPr>
        <w:instrText xml:space="preserve"> HYPERLINK \l _Toc10552 </w:instrText>
      </w:r>
      <w:r>
        <w:rPr>
          <w:rFonts w:hint="eastAsia" w:ascii="宋体" w:hAnsi="宋体" w:cs="宋体"/>
          <w:b w:val="0"/>
          <w:bCs w:val="0"/>
          <w:sz w:val="24"/>
          <w:szCs w:val="24"/>
        </w:rPr>
        <w:fldChar w:fldCharType="separate"/>
      </w:r>
      <w:r>
        <w:rPr>
          <w:rFonts w:hint="eastAsia" w:ascii="宋体" w:hAnsi="宋体" w:cs="宋体"/>
          <w:b w:val="0"/>
          <w:bCs w:val="0"/>
          <w:sz w:val="24"/>
          <w:szCs w:val="24"/>
        </w:rPr>
        <w:t>第四章  合同条款及格式</w:t>
      </w:r>
      <w:r>
        <w:rPr>
          <w:b w:val="0"/>
          <w:bCs w:val="0"/>
          <w:sz w:val="24"/>
          <w:szCs w:val="24"/>
        </w:rPr>
        <w:tab/>
      </w:r>
      <w:r>
        <w:rPr>
          <w:rFonts w:hint="eastAsia"/>
          <w:b w:val="0"/>
          <w:bCs w:val="0"/>
          <w:sz w:val="24"/>
          <w:szCs w:val="24"/>
          <w:lang w:val="en-US" w:eastAsia="zh-CN"/>
        </w:rPr>
        <w:t>1</w:t>
      </w:r>
      <w:r>
        <w:rPr>
          <w:rFonts w:hint="eastAsia" w:ascii="宋体" w:hAnsi="宋体" w:cs="宋体"/>
          <w:b w:val="0"/>
          <w:bCs w:val="0"/>
          <w:sz w:val="24"/>
          <w:szCs w:val="24"/>
        </w:rPr>
        <w:fldChar w:fldCharType="end"/>
      </w:r>
      <w:r>
        <w:rPr>
          <w:rFonts w:hint="eastAsia" w:ascii="宋体" w:hAnsi="宋体" w:cs="宋体"/>
          <w:b w:val="0"/>
          <w:bCs w:val="0"/>
          <w:sz w:val="24"/>
          <w:szCs w:val="24"/>
          <w:lang w:val="en-US" w:eastAsia="zh-CN"/>
        </w:rPr>
        <w:t>5</w:t>
      </w:r>
    </w:p>
    <w:p>
      <w:pPr>
        <w:pStyle w:val="46"/>
        <w:tabs>
          <w:tab w:val="right" w:leader="dot" w:pos="9026"/>
        </w:tabs>
        <w:spacing w:line="480" w:lineRule="auto"/>
        <w:rPr>
          <w:rFonts w:hint="eastAsia" w:eastAsia="宋体"/>
          <w:b w:val="0"/>
          <w:bCs w:val="0"/>
          <w:sz w:val="24"/>
          <w:szCs w:val="24"/>
          <w:lang w:val="en-US" w:eastAsia="zh-CN"/>
        </w:rPr>
      </w:pPr>
      <w:r>
        <w:rPr>
          <w:rFonts w:hint="eastAsia" w:ascii="宋体" w:hAnsi="宋体" w:cs="宋体"/>
          <w:b w:val="0"/>
          <w:bCs w:val="0"/>
          <w:sz w:val="24"/>
          <w:szCs w:val="24"/>
        </w:rPr>
        <w:fldChar w:fldCharType="begin"/>
      </w:r>
      <w:r>
        <w:rPr>
          <w:rFonts w:hint="eastAsia" w:ascii="宋体" w:hAnsi="宋体" w:cs="宋体"/>
          <w:b w:val="0"/>
          <w:bCs w:val="0"/>
          <w:sz w:val="24"/>
          <w:szCs w:val="24"/>
        </w:rPr>
        <w:instrText xml:space="preserve"> HYPERLINK \l _Toc32747 </w:instrText>
      </w:r>
      <w:r>
        <w:rPr>
          <w:rFonts w:hint="eastAsia" w:ascii="宋体" w:hAnsi="宋体" w:cs="宋体"/>
          <w:b w:val="0"/>
          <w:bCs w:val="0"/>
          <w:sz w:val="24"/>
          <w:szCs w:val="24"/>
        </w:rPr>
        <w:fldChar w:fldCharType="separate"/>
      </w:r>
      <w:r>
        <w:rPr>
          <w:rFonts w:hint="eastAsia" w:ascii="宋体" w:hAnsi="宋体" w:cs="宋体"/>
          <w:b w:val="0"/>
          <w:bCs w:val="0"/>
          <w:sz w:val="24"/>
          <w:szCs w:val="24"/>
        </w:rPr>
        <w:t>第五章  评标办法</w:t>
      </w:r>
      <w:r>
        <w:rPr>
          <w:b w:val="0"/>
          <w:bCs w:val="0"/>
          <w:sz w:val="24"/>
          <w:szCs w:val="24"/>
        </w:rPr>
        <w:tab/>
      </w:r>
      <w:r>
        <w:rPr>
          <w:rFonts w:hint="eastAsia"/>
          <w:b w:val="0"/>
          <w:bCs w:val="0"/>
          <w:sz w:val="24"/>
          <w:szCs w:val="24"/>
          <w:lang w:val="en-US" w:eastAsia="zh-CN"/>
        </w:rPr>
        <w:t>2</w:t>
      </w:r>
      <w:r>
        <w:rPr>
          <w:rFonts w:hint="eastAsia" w:ascii="宋体" w:hAnsi="宋体" w:cs="宋体"/>
          <w:b w:val="0"/>
          <w:bCs w:val="0"/>
          <w:sz w:val="24"/>
          <w:szCs w:val="24"/>
        </w:rPr>
        <w:fldChar w:fldCharType="end"/>
      </w:r>
      <w:r>
        <w:rPr>
          <w:rFonts w:hint="eastAsia" w:ascii="宋体" w:hAnsi="宋体" w:cs="宋体"/>
          <w:b w:val="0"/>
          <w:bCs w:val="0"/>
          <w:sz w:val="24"/>
          <w:szCs w:val="24"/>
          <w:lang w:val="en-US" w:eastAsia="zh-CN"/>
        </w:rPr>
        <w:t>5</w:t>
      </w:r>
    </w:p>
    <w:p>
      <w:pPr>
        <w:pStyle w:val="46"/>
        <w:tabs>
          <w:tab w:val="right" w:leader="dot" w:pos="9026"/>
        </w:tabs>
        <w:spacing w:line="480" w:lineRule="auto"/>
        <w:rPr>
          <w:rFonts w:hint="eastAsia" w:eastAsia="宋体"/>
          <w:b w:val="0"/>
          <w:bCs w:val="0"/>
          <w:sz w:val="24"/>
          <w:szCs w:val="24"/>
          <w:lang w:val="en-US" w:eastAsia="zh-CN"/>
        </w:rPr>
      </w:pPr>
      <w:r>
        <w:rPr>
          <w:rFonts w:hint="eastAsia" w:ascii="宋体" w:hAnsi="宋体" w:cs="宋体"/>
          <w:b w:val="0"/>
          <w:bCs w:val="0"/>
          <w:sz w:val="24"/>
          <w:szCs w:val="24"/>
        </w:rPr>
        <w:fldChar w:fldCharType="begin"/>
      </w:r>
      <w:r>
        <w:rPr>
          <w:rFonts w:hint="eastAsia" w:ascii="宋体" w:hAnsi="宋体" w:cs="宋体"/>
          <w:b w:val="0"/>
          <w:bCs w:val="0"/>
          <w:sz w:val="24"/>
          <w:szCs w:val="24"/>
        </w:rPr>
        <w:instrText xml:space="preserve"> HYPERLINK \l _Toc3678 </w:instrText>
      </w:r>
      <w:r>
        <w:rPr>
          <w:rFonts w:hint="eastAsia" w:ascii="宋体" w:hAnsi="宋体" w:cs="宋体"/>
          <w:b w:val="0"/>
          <w:bCs w:val="0"/>
          <w:sz w:val="24"/>
          <w:szCs w:val="24"/>
        </w:rPr>
        <w:fldChar w:fldCharType="separate"/>
      </w:r>
      <w:r>
        <w:rPr>
          <w:rFonts w:hint="eastAsia" w:ascii="宋体" w:hAnsi="宋体" w:cs="宋体"/>
          <w:b w:val="0"/>
          <w:bCs w:val="0"/>
          <w:sz w:val="24"/>
          <w:szCs w:val="24"/>
        </w:rPr>
        <w:t>第六章  投标文件格式</w:t>
      </w:r>
      <w:r>
        <w:rPr>
          <w:b w:val="0"/>
          <w:bCs w:val="0"/>
          <w:sz w:val="24"/>
          <w:szCs w:val="24"/>
        </w:rPr>
        <w:tab/>
      </w:r>
      <w:r>
        <w:rPr>
          <w:rFonts w:hint="eastAsia"/>
          <w:b w:val="0"/>
          <w:bCs w:val="0"/>
          <w:sz w:val="24"/>
          <w:szCs w:val="24"/>
          <w:lang w:val="en-US" w:eastAsia="zh-CN"/>
        </w:rPr>
        <w:t>3</w:t>
      </w:r>
      <w:r>
        <w:rPr>
          <w:rFonts w:hint="eastAsia" w:ascii="宋体" w:hAnsi="宋体" w:cs="宋体"/>
          <w:b w:val="0"/>
          <w:bCs w:val="0"/>
          <w:sz w:val="24"/>
          <w:szCs w:val="24"/>
        </w:rPr>
        <w:fldChar w:fldCharType="end"/>
      </w:r>
      <w:r>
        <w:rPr>
          <w:rFonts w:hint="eastAsia" w:ascii="宋体" w:hAnsi="宋体" w:cs="宋体"/>
          <w:b w:val="0"/>
          <w:bCs w:val="0"/>
          <w:sz w:val="24"/>
          <w:szCs w:val="24"/>
          <w:lang w:val="en-US" w:eastAsia="zh-CN"/>
        </w:rPr>
        <w:t>3</w:t>
      </w:r>
    </w:p>
    <w:p>
      <w:pPr>
        <w:keepNext w:val="0"/>
        <w:keepLines w:val="0"/>
        <w:pageBreakBefore w:val="0"/>
        <w:widowControl w:val="0"/>
        <w:kinsoku/>
        <w:wordWrap/>
        <w:overflowPunct/>
        <w:topLinePunct w:val="0"/>
        <w:autoSpaceDE/>
        <w:autoSpaceDN/>
        <w:bidi w:val="0"/>
        <w:adjustRightInd/>
        <w:snapToGrid w:val="0"/>
        <w:spacing w:line="580" w:lineRule="exact"/>
        <w:ind w:firstLine="240" w:firstLineChars="100"/>
        <w:jc w:val="center"/>
        <w:textAlignment w:val="auto"/>
        <w:rPr>
          <w:rFonts w:hint="eastAsia" w:ascii="新宋体" w:hAnsi="新宋体" w:eastAsia="新宋体" w:cs="新宋体"/>
          <w:b w:val="0"/>
          <w:bCs w:val="0"/>
          <w:sz w:val="24"/>
          <w:szCs w:val="24"/>
          <w:lang w:eastAsia="zh-CN"/>
        </w:rPr>
      </w:pPr>
    </w:p>
    <w:p>
      <w:pPr>
        <w:keepNext w:val="0"/>
        <w:keepLines w:val="0"/>
        <w:pageBreakBefore w:val="0"/>
        <w:widowControl w:val="0"/>
        <w:kinsoku/>
        <w:wordWrap/>
        <w:overflowPunct/>
        <w:topLinePunct w:val="0"/>
        <w:autoSpaceDE/>
        <w:autoSpaceDN/>
        <w:bidi w:val="0"/>
        <w:adjustRightInd/>
        <w:snapToGrid w:val="0"/>
        <w:spacing w:line="580" w:lineRule="exact"/>
        <w:ind w:firstLine="281" w:firstLineChars="100"/>
        <w:jc w:val="center"/>
        <w:textAlignment w:val="auto"/>
        <w:rPr>
          <w:rFonts w:hint="eastAsia" w:ascii="新宋体" w:hAnsi="新宋体" w:eastAsia="新宋体" w:cs="新宋体"/>
          <w:b/>
          <w:sz w:val="28"/>
          <w:szCs w:val="28"/>
          <w:lang w:eastAsia="zh-CN"/>
        </w:rPr>
      </w:pPr>
    </w:p>
    <w:p>
      <w:pPr>
        <w:pStyle w:val="16"/>
        <w:rPr>
          <w:rFonts w:hint="eastAsia" w:ascii="新宋体" w:hAnsi="新宋体" w:eastAsia="新宋体" w:cs="新宋体"/>
          <w:b/>
          <w:sz w:val="28"/>
          <w:szCs w:val="28"/>
          <w:lang w:eastAsia="zh-CN"/>
        </w:rPr>
      </w:pPr>
    </w:p>
    <w:p>
      <w:pPr>
        <w:pStyle w:val="16"/>
        <w:rPr>
          <w:rFonts w:hint="eastAsia" w:ascii="新宋体" w:hAnsi="新宋体" w:eastAsia="新宋体" w:cs="新宋体"/>
          <w:b/>
          <w:sz w:val="28"/>
          <w:szCs w:val="28"/>
          <w:lang w:eastAsia="zh-CN"/>
        </w:rPr>
      </w:pPr>
    </w:p>
    <w:p>
      <w:pPr>
        <w:pStyle w:val="16"/>
        <w:rPr>
          <w:rFonts w:hint="eastAsia" w:ascii="新宋体" w:hAnsi="新宋体" w:eastAsia="新宋体" w:cs="新宋体"/>
          <w:b/>
          <w:sz w:val="28"/>
          <w:szCs w:val="28"/>
          <w:lang w:eastAsia="zh-CN"/>
        </w:rPr>
      </w:pPr>
    </w:p>
    <w:p>
      <w:pPr>
        <w:pStyle w:val="16"/>
        <w:rPr>
          <w:rFonts w:hint="eastAsia" w:ascii="新宋体" w:hAnsi="新宋体" w:eastAsia="新宋体" w:cs="新宋体"/>
          <w:b/>
          <w:sz w:val="28"/>
          <w:szCs w:val="28"/>
          <w:lang w:eastAsia="zh-CN"/>
        </w:rPr>
      </w:pPr>
    </w:p>
    <w:p>
      <w:pPr>
        <w:pStyle w:val="16"/>
        <w:rPr>
          <w:rFonts w:hint="eastAsia" w:ascii="新宋体" w:hAnsi="新宋体" w:eastAsia="新宋体" w:cs="新宋体"/>
          <w:b/>
          <w:sz w:val="28"/>
          <w:szCs w:val="28"/>
          <w:lang w:eastAsia="zh-CN"/>
        </w:rPr>
      </w:pPr>
    </w:p>
    <w:p>
      <w:pPr>
        <w:pStyle w:val="16"/>
        <w:rPr>
          <w:rFonts w:hint="eastAsia" w:ascii="新宋体" w:hAnsi="新宋体" w:eastAsia="新宋体" w:cs="新宋体"/>
          <w:b/>
          <w:sz w:val="28"/>
          <w:szCs w:val="28"/>
          <w:lang w:eastAsia="zh-CN"/>
        </w:rPr>
      </w:pPr>
    </w:p>
    <w:p>
      <w:pPr>
        <w:pStyle w:val="16"/>
        <w:rPr>
          <w:rFonts w:hint="eastAsia" w:ascii="新宋体" w:hAnsi="新宋体" w:eastAsia="新宋体" w:cs="新宋体"/>
          <w:b/>
          <w:sz w:val="28"/>
          <w:szCs w:val="28"/>
          <w:lang w:eastAsia="zh-CN"/>
        </w:rPr>
      </w:pPr>
    </w:p>
    <w:p>
      <w:pPr>
        <w:pStyle w:val="16"/>
        <w:rPr>
          <w:rFonts w:hint="eastAsia" w:ascii="新宋体" w:hAnsi="新宋体" w:eastAsia="新宋体" w:cs="新宋体"/>
          <w:b/>
          <w:sz w:val="28"/>
          <w:szCs w:val="28"/>
          <w:lang w:eastAsia="zh-CN"/>
        </w:rPr>
      </w:pPr>
    </w:p>
    <w:p>
      <w:pPr>
        <w:pStyle w:val="16"/>
        <w:rPr>
          <w:rFonts w:hint="eastAsia" w:ascii="新宋体" w:hAnsi="新宋体" w:eastAsia="新宋体" w:cs="新宋体"/>
          <w:b/>
          <w:sz w:val="28"/>
          <w:szCs w:val="28"/>
          <w:lang w:eastAsia="zh-CN"/>
        </w:rPr>
      </w:pPr>
    </w:p>
    <w:p>
      <w:pPr>
        <w:pStyle w:val="16"/>
        <w:rPr>
          <w:rFonts w:hint="eastAsia" w:ascii="新宋体" w:hAnsi="新宋体" w:eastAsia="新宋体" w:cs="新宋体"/>
          <w:b/>
          <w:sz w:val="28"/>
          <w:szCs w:val="28"/>
          <w:lang w:eastAsia="zh-CN"/>
        </w:rPr>
      </w:pPr>
    </w:p>
    <w:p>
      <w:pPr>
        <w:pStyle w:val="16"/>
        <w:rPr>
          <w:rFonts w:hint="eastAsia" w:ascii="新宋体" w:hAnsi="新宋体" w:eastAsia="新宋体" w:cs="新宋体"/>
          <w:b/>
          <w:sz w:val="28"/>
          <w:szCs w:val="28"/>
          <w:lang w:eastAsia="zh-CN"/>
        </w:rPr>
      </w:pPr>
    </w:p>
    <w:p>
      <w:pPr>
        <w:pStyle w:val="16"/>
        <w:rPr>
          <w:rFonts w:hint="eastAsia" w:ascii="新宋体" w:hAnsi="新宋体" w:eastAsia="新宋体" w:cs="新宋体"/>
          <w:b/>
          <w:sz w:val="28"/>
          <w:szCs w:val="28"/>
          <w:lang w:eastAsia="zh-CN"/>
        </w:rPr>
      </w:pPr>
    </w:p>
    <w:p>
      <w:pPr>
        <w:keepNext w:val="0"/>
        <w:keepLines w:val="0"/>
        <w:pageBreakBefore w:val="0"/>
        <w:widowControl w:val="0"/>
        <w:kinsoku/>
        <w:wordWrap/>
        <w:overflowPunct/>
        <w:topLinePunct w:val="0"/>
        <w:autoSpaceDE/>
        <w:autoSpaceDN/>
        <w:bidi w:val="0"/>
        <w:adjustRightInd/>
        <w:snapToGrid w:val="0"/>
        <w:spacing w:line="580" w:lineRule="exact"/>
        <w:ind w:firstLine="281" w:firstLineChars="100"/>
        <w:jc w:val="center"/>
        <w:textAlignment w:val="auto"/>
        <w:rPr>
          <w:rFonts w:hint="eastAsia" w:ascii="新宋体" w:hAnsi="新宋体" w:eastAsia="新宋体" w:cs="新宋体"/>
          <w:b/>
          <w:sz w:val="28"/>
          <w:szCs w:val="28"/>
          <w:lang w:eastAsia="zh-CN"/>
        </w:rPr>
      </w:pPr>
    </w:p>
    <w:p>
      <w:pPr>
        <w:keepNext w:val="0"/>
        <w:keepLines w:val="0"/>
        <w:pageBreakBefore w:val="0"/>
        <w:widowControl w:val="0"/>
        <w:kinsoku/>
        <w:wordWrap/>
        <w:overflowPunct/>
        <w:topLinePunct w:val="0"/>
        <w:autoSpaceDE/>
        <w:autoSpaceDN/>
        <w:bidi w:val="0"/>
        <w:adjustRightInd/>
        <w:snapToGrid w:val="0"/>
        <w:spacing w:line="580" w:lineRule="exact"/>
        <w:ind w:firstLine="281" w:firstLineChars="100"/>
        <w:jc w:val="center"/>
        <w:textAlignment w:val="auto"/>
        <w:rPr>
          <w:rFonts w:hint="eastAsia" w:ascii="新宋体" w:hAnsi="新宋体" w:eastAsia="新宋体" w:cs="新宋体"/>
          <w:sz w:val="28"/>
          <w:szCs w:val="28"/>
        </w:rPr>
      </w:pPr>
      <w:r>
        <w:rPr>
          <w:rFonts w:hint="eastAsia" w:ascii="新宋体" w:hAnsi="新宋体" w:eastAsia="新宋体" w:cs="新宋体"/>
          <w:b/>
          <w:sz w:val="28"/>
          <w:szCs w:val="28"/>
          <w:lang w:eastAsia="zh-CN"/>
        </w:rPr>
        <w:t>第一章、</w:t>
      </w:r>
      <w:r>
        <w:rPr>
          <w:rFonts w:hint="eastAsia" w:ascii="新宋体" w:hAnsi="新宋体" w:eastAsia="新宋体" w:cs="新宋体"/>
          <w:b/>
          <w:sz w:val="28"/>
          <w:szCs w:val="28"/>
        </w:rPr>
        <w:t>招标公告</w:t>
      </w:r>
    </w:p>
    <w:p>
      <w:pPr>
        <w:keepNext w:val="0"/>
        <w:keepLines w:val="0"/>
        <w:pageBreakBefore w:val="0"/>
        <w:widowControl w:val="0"/>
        <w:kinsoku/>
        <w:wordWrap/>
        <w:overflowPunct/>
        <w:topLinePunct w:val="0"/>
        <w:autoSpaceDE/>
        <w:autoSpaceDN/>
        <w:bidi w:val="0"/>
        <w:adjustRightInd/>
        <w:snapToGrid w:val="0"/>
        <w:spacing w:line="480" w:lineRule="auto"/>
        <w:ind w:firstLine="480" w:firstLineChars="200"/>
        <w:textAlignment w:val="auto"/>
        <w:rPr>
          <w:rFonts w:hint="eastAsia" w:ascii="新宋体" w:hAnsi="新宋体" w:eastAsia="新宋体" w:cs="新宋体"/>
          <w:sz w:val="24"/>
          <w:szCs w:val="24"/>
        </w:rPr>
      </w:pPr>
      <w:r>
        <w:rPr>
          <w:rFonts w:hint="eastAsia" w:ascii="新宋体" w:hAnsi="新宋体" w:eastAsia="新宋体" w:cs="新宋体"/>
          <w:sz w:val="24"/>
          <w:szCs w:val="24"/>
        </w:rPr>
        <w:t>一、工程概况</w:t>
      </w:r>
    </w:p>
    <w:p>
      <w:pPr>
        <w:keepNext w:val="0"/>
        <w:keepLines w:val="0"/>
        <w:pageBreakBefore w:val="0"/>
        <w:widowControl w:val="0"/>
        <w:kinsoku/>
        <w:wordWrap/>
        <w:overflowPunct/>
        <w:topLinePunct w:val="0"/>
        <w:autoSpaceDE/>
        <w:autoSpaceDN/>
        <w:bidi w:val="0"/>
        <w:adjustRightInd/>
        <w:snapToGrid w:val="0"/>
        <w:spacing w:line="480" w:lineRule="auto"/>
        <w:ind w:firstLine="480" w:firstLineChars="200"/>
        <w:textAlignment w:val="auto"/>
        <w:rPr>
          <w:rFonts w:hint="eastAsia" w:ascii="新宋体" w:hAnsi="新宋体" w:eastAsia="新宋体" w:cs="新宋体"/>
          <w:sz w:val="24"/>
          <w:szCs w:val="24"/>
          <w:lang w:eastAsia="zh-CN"/>
        </w:rPr>
      </w:pPr>
      <w:r>
        <w:rPr>
          <w:rFonts w:hint="eastAsia" w:ascii="新宋体" w:hAnsi="新宋体" w:eastAsia="新宋体" w:cs="新宋体"/>
          <w:sz w:val="24"/>
          <w:szCs w:val="24"/>
        </w:rPr>
        <w:t>1、招标人：</w:t>
      </w:r>
      <w:r>
        <w:rPr>
          <w:rFonts w:hint="eastAsia" w:ascii="新宋体" w:hAnsi="新宋体" w:eastAsia="新宋体" w:cs="新宋体"/>
          <w:color w:val="000000"/>
          <w:sz w:val="24"/>
          <w:szCs w:val="24"/>
          <w:shd w:val="clear" w:fill="FFFFFF"/>
        </w:rPr>
        <w:t>阜阳市马梦置业有限公司</w:t>
      </w:r>
      <w:r>
        <w:rPr>
          <w:rStyle w:val="34"/>
          <w:rFonts w:hint="eastAsia" w:ascii="新宋体" w:hAnsi="新宋体" w:eastAsia="新宋体" w:cs="新宋体"/>
          <w:color w:val="333333"/>
          <w:kern w:val="0"/>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480" w:lineRule="auto"/>
        <w:ind w:left="479" w:leftChars="228"/>
        <w:textAlignment w:val="auto"/>
        <w:rPr>
          <w:rFonts w:hint="eastAsia" w:ascii="新宋体" w:hAnsi="新宋体" w:eastAsia="新宋体" w:cs="新宋体"/>
          <w:sz w:val="24"/>
          <w:szCs w:val="24"/>
        </w:rPr>
      </w:pPr>
      <w:r>
        <w:rPr>
          <w:rFonts w:hint="eastAsia" w:ascii="新宋体" w:hAnsi="新宋体" w:eastAsia="新宋体" w:cs="新宋体"/>
          <w:sz w:val="24"/>
          <w:szCs w:val="24"/>
        </w:rPr>
        <w:t>2、项目地点：</w:t>
      </w:r>
      <w:r>
        <w:rPr>
          <w:rFonts w:hint="eastAsia" w:ascii="新宋体" w:hAnsi="新宋体" w:eastAsia="新宋体" w:cs="新宋体"/>
          <w:sz w:val="24"/>
          <w:szCs w:val="24"/>
          <w:highlight w:val="none"/>
        </w:rPr>
        <w:t>阜阳市颍泉区太和路西侧，古泉路北侧</w:t>
      </w:r>
      <w:r>
        <w:rPr>
          <w:rFonts w:hint="eastAsia" w:ascii="新宋体" w:hAnsi="新宋体" w:eastAsia="新宋体" w:cs="新宋体"/>
          <w:sz w:val="24"/>
          <w:szCs w:val="24"/>
        </w:rPr>
        <w:t>。</w:t>
      </w:r>
    </w:p>
    <w:p>
      <w:pPr>
        <w:keepNext w:val="0"/>
        <w:keepLines w:val="0"/>
        <w:pageBreakBefore w:val="0"/>
        <w:widowControl w:val="0"/>
        <w:kinsoku/>
        <w:wordWrap/>
        <w:overflowPunct/>
        <w:topLinePunct w:val="0"/>
        <w:autoSpaceDE/>
        <w:autoSpaceDN/>
        <w:bidi w:val="0"/>
        <w:adjustRightInd/>
        <w:snapToGrid w:val="0"/>
        <w:spacing w:line="480" w:lineRule="auto"/>
        <w:ind w:left="479" w:leftChars="228"/>
        <w:textAlignment w:val="auto"/>
        <w:rPr>
          <w:rFonts w:hint="eastAsia" w:ascii="新宋体" w:hAnsi="新宋体" w:eastAsia="新宋体" w:cs="新宋体"/>
          <w:sz w:val="24"/>
          <w:szCs w:val="24"/>
          <w:lang w:eastAsia="zh-CN"/>
        </w:rPr>
      </w:pPr>
      <w:r>
        <w:rPr>
          <w:rFonts w:hint="eastAsia" w:ascii="新宋体" w:hAnsi="新宋体" w:eastAsia="新宋体" w:cs="新宋体"/>
          <w:sz w:val="24"/>
          <w:szCs w:val="24"/>
        </w:rPr>
        <w:t>3、项目名称：</w:t>
      </w:r>
      <w:r>
        <w:rPr>
          <w:rFonts w:hint="eastAsia" w:ascii="新宋体" w:hAnsi="新宋体" w:eastAsia="新宋体" w:cs="新宋体"/>
          <w:sz w:val="24"/>
          <w:szCs w:val="24"/>
          <w:highlight w:val="none"/>
          <w:lang w:eastAsia="zh-CN"/>
        </w:rPr>
        <w:t>阜阳市颍泉区金马爱梦天宸前期物业管理项目</w:t>
      </w:r>
    </w:p>
    <w:p>
      <w:pPr>
        <w:keepNext w:val="0"/>
        <w:keepLines w:val="0"/>
        <w:pageBreakBefore w:val="0"/>
        <w:widowControl w:val="0"/>
        <w:kinsoku/>
        <w:wordWrap/>
        <w:overflowPunct/>
        <w:topLinePunct w:val="0"/>
        <w:autoSpaceDE/>
        <w:autoSpaceDN/>
        <w:bidi w:val="0"/>
        <w:adjustRightInd/>
        <w:snapToGrid w:val="0"/>
        <w:spacing w:line="480" w:lineRule="auto"/>
        <w:ind w:firstLine="480" w:firstLineChars="200"/>
        <w:textAlignment w:val="auto"/>
        <w:rPr>
          <w:rFonts w:hint="eastAsia" w:ascii="新宋体" w:hAnsi="新宋体" w:eastAsia="新宋体" w:cs="新宋体"/>
          <w:sz w:val="24"/>
          <w:szCs w:val="24"/>
        </w:rPr>
      </w:pPr>
      <w:r>
        <w:rPr>
          <w:rFonts w:hint="eastAsia" w:ascii="新宋体" w:hAnsi="新宋体" w:eastAsia="新宋体" w:cs="新宋体"/>
          <w:sz w:val="24"/>
          <w:szCs w:val="24"/>
        </w:rPr>
        <w:t>4、物业类型：</w:t>
      </w:r>
      <w:r>
        <w:rPr>
          <w:rFonts w:hint="eastAsia" w:ascii="宋体" w:hAnsi="宋体" w:eastAsia="宋体" w:cs="宋体"/>
          <w:color w:val="auto"/>
          <w:sz w:val="24"/>
          <w:szCs w:val="24"/>
          <w:highlight w:val="none"/>
        </w:rPr>
        <w:t>住宅</w:t>
      </w:r>
      <w:r>
        <w:rPr>
          <w:rFonts w:hint="eastAsia" w:ascii="宋体" w:hAnsi="宋体" w:eastAsia="宋体" w:cs="宋体"/>
          <w:color w:val="auto"/>
          <w:sz w:val="24"/>
          <w:szCs w:val="24"/>
          <w:highlight w:val="none"/>
          <w:lang w:val="en-US" w:eastAsia="zh-CN"/>
        </w:rPr>
        <w:t>、商业</w:t>
      </w:r>
    </w:p>
    <w:p>
      <w:pPr>
        <w:keepNext w:val="0"/>
        <w:keepLines w:val="0"/>
        <w:pageBreakBefore w:val="0"/>
        <w:widowControl w:val="0"/>
        <w:kinsoku/>
        <w:wordWrap/>
        <w:overflowPunct/>
        <w:topLinePunct w:val="0"/>
        <w:autoSpaceDE/>
        <w:autoSpaceDN/>
        <w:bidi w:val="0"/>
        <w:adjustRightInd/>
        <w:snapToGrid w:val="0"/>
        <w:spacing w:line="480" w:lineRule="auto"/>
        <w:ind w:firstLine="480" w:firstLineChars="200"/>
        <w:textAlignment w:val="auto"/>
        <w:rPr>
          <w:rFonts w:hint="eastAsia" w:ascii="新宋体" w:hAnsi="新宋体" w:eastAsia="新宋体" w:cs="新宋体"/>
          <w:sz w:val="24"/>
          <w:szCs w:val="24"/>
          <w:lang w:eastAsia="zh-CN"/>
        </w:rPr>
      </w:pPr>
      <w:r>
        <w:rPr>
          <w:rFonts w:hint="eastAsia" w:ascii="新宋体" w:hAnsi="新宋体" w:eastAsia="新宋体" w:cs="新宋体"/>
          <w:sz w:val="24"/>
          <w:szCs w:val="24"/>
        </w:rPr>
        <w:t>5、招标方式：公开</w:t>
      </w:r>
      <w:r>
        <w:rPr>
          <w:rFonts w:hint="eastAsia" w:ascii="新宋体" w:hAnsi="新宋体" w:eastAsia="新宋体" w:cs="新宋体"/>
          <w:sz w:val="24"/>
          <w:szCs w:val="24"/>
          <w:lang w:eastAsia="zh-CN"/>
        </w:rPr>
        <w:t>招标</w:t>
      </w:r>
    </w:p>
    <w:p>
      <w:pPr>
        <w:keepNext w:val="0"/>
        <w:keepLines w:val="0"/>
        <w:pageBreakBefore w:val="0"/>
        <w:widowControl w:val="0"/>
        <w:kinsoku/>
        <w:wordWrap/>
        <w:overflowPunct/>
        <w:topLinePunct w:val="0"/>
        <w:autoSpaceDE/>
        <w:autoSpaceDN/>
        <w:bidi w:val="0"/>
        <w:adjustRightInd/>
        <w:snapToGrid w:val="0"/>
        <w:spacing w:line="480" w:lineRule="auto"/>
        <w:ind w:firstLine="480" w:firstLineChars="200"/>
        <w:textAlignment w:val="auto"/>
        <w:rPr>
          <w:rFonts w:hint="eastAsia" w:ascii="新宋体" w:hAnsi="新宋体" w:eastAsia="新宋体" w:cs="新宋体"/>
          <w:sz w:val="24"/>
          <w:szCs w:val="24"/>
        </w:rPr>
      </w:pPr>
      <w:r>
        <w:rPr>
          <w:rFonts w:hint="eastAsia" w:ascii="新宋体" w:hAnsi="新宋体" w:eastAsia="新宋体" w:cs="新宋体"/>
          <w:sz w:val="24"/>
          <w:szCs w:val="24"/>
        </w:rPr>
        <w:t>6、建设规模：</w:t>
      </w:r>
      <w:r>
        <w:rPr>
          <w:rFonts w:hint="eastAsia" w:ascii="新宋体" w:hAnsi="新宋体" w:eastAsia="新宋体" w:cs="新宋体"/>
          <w:color w:val="000000"/>
          <w:sz w:val="24"/>
          <w:szCs w:val="24"/>
          <w:shd w:val="clear" w:fill="FFFFFF"/>
        </w:rPr>
        <w:t>建筑面积参数：项目总占地面积12266.67平方米，总建筑面积147407.80平方米，住宅102313.84平方米，商业2942.29平方米，机动车车位1180个，地面停车位214个，地下停车858个，充电车位108个，物业管理用房444.03平方米</w:t>
      </w:r>
      <w:r>
        <w:rPr>
          <w:rFonts w:hint="eastAsia" w:ascii="新宋体" w:hAnsi="新宋体" w:eastAsia="新宋体" w:cs="新宋体"/>
          <w:sz w:val="24"/>
          <w:szCs w:val="24"/>
          <w:highlight w:val="none"/>
          <w:lang w:val="en-US" w:eastAsia="zh-CN"/>
        </w:rPr>
        <w:t>。以上数据按照主管部门最终确认为准</w:t>
      </w:r>
      <w:r>
        <w:rPr>
          <w:rFonts w:hint="eastAsia" w:ascii="新宋体" w:hAnsi="新宋体" w:eastAsia="新宋体" w:cs="新宋体"/>
          <w:sz w:val="24"/>
          <w:szCs w:val="24"/>
        </w:rPr>
        <w:t>。</w:t>
      </w:r>
    </w:p>
    <w:p>
      <w:pPr>
        <w:keepNext w:val="0"/>
        <w:keepLines w:val="0"/>
        <w:pageBreakBefore w:val="0"/>
        <w:widowControl w:val="0"/>
        <w:kinsoku/>
        <w:wordWrap/>
        <w:overflowPunct/>
        <w:topLinePunct w:val="0"/>
        <w:autoSpaceDE/>
        <w:autoSpaceDN/>
        <w:bidi w:val="0"/>
        <w:adjustRightInd/>
        <w:snapToGrid w:val="0"/>
        <w:spacing w:line="480" w:lineRule="auto"/>
        <w:ind w:firstLine="480" w:firstLineChars="200"/>
        <w:textAlignment w:val="auto"/>
        <w:rPr>
          <w:rFonts w:hint="eastAsia" w:ascii="新宋体" w:hAnsi="新宋体" w:eastAsia="新宋体" w:cs="新宋体"/>
          <w:sz w:val="24"/>
          <w:szCs w:val="24"/>
        </w:rPr>
      </w:pPr>
      <w:r>
        <w:rPr>
          <w:rFonts w:hint="eastAsia" w:ascii="新宋体" w:hAnsi="新宋体" w:eastAsia="新宋体" w:cs="新宋体"/>
          <w:sz w:val="24"/>
          <w:szCs w:val="24"/>
        </w:rPr>
        <w:t>7、服务等级：住宅按照《安徽省住宅区物业服务标准》</w:t>
      </w:r>
      <w:r>
        <w:rPr>
          <w:rFonts w:hint="eastAsia" w:ascii="新宋体" w:hAnsi="新宋体" w:eastAsia="新宋体" w:cs="新宋体"/>
          <w:sz w:val="24"/>
          <w:szCs w:val="24"/>
          <w:u w:val="single"/>
          <w:lang w:val="en-US" w:eastAsia="zh-CN"/>
        </w:rPr>
        <w:t xml:space="preserve"> </w:t>
      </w:r>
      <w:r>
        <w:rPr>
          <w:rFonts w:hint="eastAsia" w:ascii="新宋体" w:hAnsi="新宋体" w:eastAsia="新宋体" w:cs="新宋体"/>
          <w:sz w:val="24"/>
          <w:szCs w:val="24"/>
          <w:u w:val="single"/>
          <w:lang w:eastAsia="zh-CN"/>
        </w:rPr>
        <w:t>B</w:t>
      </w:r>
      <w:r>
        <w:rPr>
          <w:rFonts w:hint="eastAsia" w:ascii="新宋体" w:hAnsi="新宋体" w:eastAsia="新宋体" w:cs="新宋体"/>
          <w:sz w:val="24"/>
          <w:szCs w:val="24"/>
          <w:u w:val="single"/>
          <w:lang w:val="en-US" w:eastAsia="zh-CN"/>
        </w:rPr>
        <w:t xml:space="preserve"> </w:t>
      </w:r>
      <w:r>
        <w:rPr>
          <w:rFonts w:hint="eastAsia" w:ascii="新宋体" w:hAnsi="新宋体" w:eastAsia="新宋体" w:cs="新宋体"/>
          <w:sz w:val="24"/>
          <w:szCs w:val="24"/>
        </w:rPr>
        <w:t xml:space="preserve">级执行。 </w:t>
      </w:r>
    </w:p>
    <w:p>
      <w:pPr>
        <w:keepNext w:val="0"/>
        <w:keepLines w:val="0"/>
        <w:pageBreakBefore w:val="0"/>
        <w:widowControl w:val="0"/>
        <w:kinsoku/>
        <w:wordWrap/>
        <w:overflowPunct/>
        <w:topLinePunct w:val="0"/>
        <w:autoSpaceDE/>
        <w:autoSpaceDN/>
        <w:bidi w:val="0"/>
        <w:adjustRightInd/>
        <w:snapToGrid w:val="0"/>
        <w:spacing w:line="480" w:lineRule="auto"/>
        <w:ind w:firstLine="480" w:firstLineChars="200"/>
        <w:textAlignment w:val="auto"/>
        <w:rPr>
          <w:rFonts w:hint="eastAsia" w:ascii="新宋体" w:hAnsi="新宋体" w:eastAsia="新宋体" w:cs="新宋体"/>
          <w:sz w:val="24"/>
          <w:szCs w:val="24"/>
        </w:rPr>
      </w:pPr>
      <w:r>
        <w:rPr>
          <w:rFonts w:hint="eastAsia" w:ascii="新宋体" w:hAnsi="新宋体" w:eastAsia="新宋体" w:cs="新宋体"/>
          <w:sz w:val="24"/>
          <w:szCs w:val="24"/>
        </w:rPr>
        <w:t>二、招标资质要求及资格审查方式</w:t>
      </w:r>
    </w:p>
    <w:p>
      <w:pPr>
        <w:keepNext w:val="0"/>
        <w:keepLines w:val="0"/>
        <w:pageBreakBefore w:val="0"/>
        <w:widowControl w:val="0"/>
        <w:kinsoku/>
        <w:wordWrap/>
        <w:overflowPunct/>
        <w:topLinePunct w:val="0"/>
        <w:autoSpaceDE/>
        <w:autoSpaceDN/>
        <w:bidi w:val="0"/>
        <w:adjustRightInd/>
        <w:snapToGrid w:val="0"/>
        <w:spacing w:line="480" w:lineRule="auto"/>
        <w:ind w:firstLine="480" w:firstLineChars="200"/>
        <w:textAlignment w:val="auto"/>
        <w:rPr>
          <w:rFonts w:hint="eastAsia" w:ascii="新宋体" w:hAnsi="新宋体" w:eastAsia="新宋体" w:cs="新宋体"/>
          <w:sz w:val="24"/>
          <w:szCs w:val="24"/>
        </w:rPr>
      </w:pPr>
      <w:r>
        <w:rPr>
          <w:rFonts w:hint="eastAsia" w:ascii="新宋体" w:hAnsi="新宋体" w:eastAsia="新宋体" w:cs="新宋体"/>
          <w:sz w:val="24"/>
          <w:szCs w:val="24"/>
        </w:rPr>
        <w:t>1、国内具有独立法人资格，经营范围包括物业管理（服务）。</w:t>
      </w:r>
    </w:p>
    <w:p>
      <w:pPr>
        <w:keepNext w:val="0"/>
        <w:keepLines w:val="0"/>
        <w:pageBreakBefore w:val="0"/>
        <w:widowControl w:val="0"/>
        <w:kinsoku/>
        <w:wordWrap/>
        <w:overflowPunct/>
        <w:topLinePunct w:val="0"/>
        <w:autoSpaceDE/>
        <w:autoSpaceDN/>
        <w:bidi w:val="0"/>
        <w:adjustRightInd/>
        <w:snapToGrid w:val="0"/>
        <w:spacing w:line="480" w:lineRule="auto"/>
        <w:ind w:firstLine="480" w:firstLineChars="200"/>
        <w:textAlignment w:val="auto"/>
        <w:rPr>
          <w:rFonts w:hint="eastAsia" w:ascii="新宋体" w:hAnsi="新宋体" w:eastAsia="新宋体" w:cs="新宋体"/>
          <w:sz w:val="24"/>
          <w:szCs w:val="24"/>
        </w:rPr>
      </w:pPr>
      <w:r>
        <w:rPr>
          <w:rFonts w:hint="eastAsia" w:ascii="新宋体" w:hAnsi="新宋体" w:eastAsia="新宋体" w:cs="新宋体"/>
          <w:sz w:val="24"/>
          <w:szCs w:val="24"/>
        </w:rPr>
        <w:t>2、资格审查方式：资格后审。</w:t>
      </w:r>
    </w:p>
    <w:p>
      <w:pPr>
        <w:keepNext w:val="0"/>
        <w:keepLines w:val="0"/>
        <w:pageBreakBefore w:val="0"/>
        <w:widowControl w:val="0"/>
        <w:kinsoku/>
        <w:wordWrap/>
        <w:overflowPunct/>
        <w:topLinePunct w:val="0"/>
        <w:autoSpaceDE/>
        <w:autoSpaceDN/>
        <w:bidi w:val="0"/>
        <w:adjustRightInd/>
        <w:snapToGrid w:val="0"/>
        <w:spacing w:line="480" w:lineRule="auto"/>
        <w:ind w:firstLine="480" w:firstLineChars="200"/>
        <w:textAlignment w:val="auto"/>
        <w:rPr>
          <w:rFonts w:hint="eastAsia" w:ascii="新宋体" w:hAnsi="新宋体" w:eastAsia="新宋体" w:cs="新宋体"/>
          <w:color w:val="000000"/>
          <w:sz w:val="24"/>
          <w:szCs w:val="24"/>
        </w:rPr>
      </w:pPr>
      <w:r>
        <w:rPr>
          <w:rStyle w:val="20"/>
          <w:rFonts w:hint="eastAsia" w:ascii="新宋体" w:hAnsi="新宋体" w:eastAsia="新宋体" w:cs="新宋体"/>
          <w:b w:val="0"/>
          <w:color w:val="000000"/>
          <w:sz w:val="24"/>
          <w:szCs w:val="24"/>
          <w:shd w:val="clear" w:color="auto" w:fill="FFFFFF"/>
        </w:rPr>
        <w:t>3、</w:t>
      </w:r>
      <w:r>
        <w:rPr>
          <w:rFonts w:hint="eastAsia" w:ascii="新宋体" w:hAnsi="新宋体" w:eastAsia="新宋体" w:cs="新宋体"/>
          <w:color w:val="000000"/>
          <w:sz w:val="24"/>
          <w:szCs w:val="24"/>
        </w:rPr>
        <w:t>外部入阜企业需要提供阜阳市房屋管理局出具的物业备案证明材料，投标人上一年信用等级被评定为C级及以上（企业或在阜分支机构设立未满一年按C级标准，若满一年仍未参加信用体系评定的视为0分）。</w:t>
      </w:r>
    </w:p>
    <w:p>
      <w:pPr>
        <w:keepNext w:val="0"/>
        <w:keepLines w:val="0"/>
        <w:pageBreakBefore w:val="0"/>
        <w:widowControl w:val="0"/>
        <w:kinsoku/>
        <w:wordWrap/>
        <w:overflowPunct/>
        <w:topLinePunct w:val="0"/>
        <w:autoSpaceDE/>
        <w:autoSpaceDN/>
        <w:bidi w:val="0"/>
        <w:adjustRightInd/>
        <w:snapToGrid w:val="0"/>
        <w:spacing w:line="480" w:lineRule="auto"/>
        <w:ind w:firstLine="480" w:firstLineChars="200"/>
        <w:textAlignment w:val="auto"/>
        <w:rPr>
          <w:rFonts w:hint="eastAsia" w:ascii="新宋体" w:hAnsi="新宋体" w:eastAsia="新宋体" w:cs="新宋体"/>
          <w:sz w:val="24"/>
          <w:szCs w:val="24"/>
        </w:rPr>
      </w:pPr>
      <w:r>
        <w:rPr>
          <w:rFonts w:hint="eastAsia" w:ascii="新宋体" w:hAnsi="新宋体" w:eastAsia="新宋体" w:cs="新宋体"/>
          <w:sz w:val="24"/>
          <w:szCs w:val="24"/>
        </w:rPr>
        <w:t>4、本项目不接受联合体投标。</w:t>
      </w:r>
    </w:p>
    <w:p>
      <w:pPr>
        <w:keepNext w:val="0"/>
        <w:keepLines w:val="0"/>
        <w:pageBreakBefore w:val="0"/>
        <w:widowControl w:val="0"/>
        <w:kinsoku/>
        <w:wordWrap/>
        <w:overflowPunct/>
        <w:topLinePunct w:val="0"/>
        <w:autoSpaceDE/>
        <w:autoSpaceDN/>
        <w:bidi w:val="0"/>
        <w:adjustRightInd/>
        <w:snapToGrid w:val="0"/>
        <w:spacing w:line="480" w:lineRule="auto"/>
        <w:ind w:firstLine="480" w:firstLineChars="200"/>
        <w:textAlignment w:val="auto"/>
        <w:rPr>
          <w:rFonts w:hint="eastAsia" w:ascii="新宋体" w:hAnsi="新宋体" w:eastAsia="新宋体" w:cs="新宋体"/>
          <w:sz w:val="24"/>
          <w:szCs w:val="24"/>
        </w:rPr>
      </w:pPr>
      <w:r>
        <w:rPr>
          <w:rFonts w:hint="eastAsia" w:ascii="新宋体" w:hAnsi="新宋体" w:eastAsia="新宋体" w:cs="新宋体"/>
          <w:sz w:val="24"/>
          <w:szCs w:val="24"/>
        </w:rPr>
        <w:t>三、投标人须知</w:t>
      </w:r>
    </w:p>
    <w:p>
      <w:pPr>
        <w:keepNext w:val="0"/>
        <w:keepLines w:val="0"/>
        <w:pageBreakBefore w:val="0"/>
        <w:widowControl w:val="0"/>
        <w:kinsoku/>
        <w:wordWrap/>
        <w:overflowPunct/>
        <w:topLinePunct w:val="0"/>
        <w:autoSpaceDE/>
        <w:autoSpaceDN/>
        <w:bidi w:val="0"/>
        <w:adjustRightInd/>
        <w:snapToGrid w:val="0"/>
        <w:spacing w:line="480" w:lineRule="auto"/>
        <w:ind w:firstLine="482" w:firstLineChars="200"/>
        <w:textAlignment w:val="auto"/>
        <w:rPr>
          <w:rFonts w:hint="eastAsia" w:ascii="新宋体" w:hAnsi="新宋体" w:eastAsia="新宋体" w:cs="新宋体"/>
          <w:sz w:val="24"/>
          <w:szCs w:val="24"/>
        </w:rPr>
      </w:pPr>
      <w:r>
        <w:rPr>
          <w:rFonts w:hint="eastAsia" w:ascii="新宋体" w:hAnsi="新宋体" w:eastAsia="新宋体" w:cs="新宋体"/>
          <w:b/>
          <w:sz w:val="24"/>
          <w:szCs w:val="24"/>
        </w:rPr>
        <w:t>1、</w:t>
      </w:r>
      <w:r>
        <w:rPr>
          <w:rFonts w:hint="eastAsia" w:ascii="新宋体" w:hAnsi="新宋体" w:eastAsia="新宋体" w:cs="新宋体"/>
          <w:sz w:val="24"/>
          <w:szCs w:val="24"/>
        </w:rPr>
        <w:t>投标申请人须在202</w:t>
      </w:r>
      <w:r>
        <w:rPr>
          <w:rFonts w:hint="eastAsia" w:ascii="新宋体" w:hAnsi="新宋体" w:eastAsia="新宋体" w:cs="新宋体"/>
          <w:sz w:val="24"/>
          <w:szCs w:val="24"/>
          <w:lang w:val="en-US" w:eastAsia="zh-CN"/>
        </w:rPr>
        <w:t>1</w:t>
      </w:r>
      <w:r>
        <w:rPr>
          <w:rFonts w:hint="eastAsia" w:ascii="新宋体" w:hAnsi="新宋体" w:eastAsia="新宋体" w:cs="新宋体"/>
          <w:sz w:val="24"/>
          <w:szCs w:val="24"/>
          <w:highlight w:val="none"/>
        </w:rPr>
        <w:t>年</w:t>
      </w:r>
      <w:r>
        <w:rPr>
          <w:rFonts w:hint="eastAsia" w:ascii="新宋体" w:hAnsi="新宋体" w:eastAsia="新宋体" w:cs="新宋体"/>
          <w:sz w:val="24"/>
          <w:szCs w:val="24"/>
          <w:highlight w:val="none"/>
          <w:lang w:val="en-US" w:eastAsia="zh-CN"/>
        </w:rPr>
        <w:t>04</w:t>
      </w:r>
      <w:r>
        <w:rPr>
          <w:rFonts w:hint="eastAsia" w:ascii="新宋体" w:hAnsi="新宋体" w:eastAsia="新宋体" w:cs="新宋体"/>
          <w:sz w:val="24"/>
          <w:szCs w:val="24"/>
          <w:highlight w:val="none"/>
        </w:rPr>
        <w:t>月</w:t>
      </w:r>
      <w:r>
        <w:rPr>
          <w:rFonts w:hint="eastAsia" w:ascii="新宋体" w:hAnsi="新宋体" w:eastAsia="新宋体" w:cs="新宋体"/>
          <w:sz w:val="24"/>
          <w:szCs w:val="24"/>
          <w:highlight w:val="none"/>
          <w:lang w:val="en-US" w:eastAsia="zh-CN"/>
        </w:rPr>
        <w:t xml:space="preserve"> 29</w:t>
      </w:r>
      <w:r>
        <w:rPr>
          <w:rFonts w:hint="eastAsia" w:ascii="新宋体" w:hAnsi="新宋体" w:eastAsia="新宋体" w:cs="新宋体"/>
          <w:sz w:val="24"/>
          <w:szCs w:val="24"/>
          <w:highlight w:val="none"/>
        </w:rPr>
        <w:t>日起至202</w:t>
      </w:r>
      <w:r>
        <w:rPr>
          <w:rFonts w:hint="eastAsia" w:ascii="新宋体" w:hAnsi="新宋体" w:eastAsia="新宋体" w:cs="新宋体"/>
          <w:sz w:val="24"/>
          <w:szCs w:val="24"/>
          <w:highlight w:val="none"/>
          <w:lang w:val="en-US" w:eastAsia="zh-CN"/>
        </w:rPr>
        <w:t>1</w:t>
      </w:r>
      <w:r>
        <w:rPr>
          <w:rFonts w:hint="eastAsia" w:ascii="新宋体" w:hAnsi="新宋体" w:eastAsia="新宋体" w:cs="新宋体"/>
          <w:sz w:val="24"/>
          <w:szCs w:val="24"/>
          <w:highlight w:val="none"/>
        </w:rPr>
        <w:t>年</w:t>
      </w:r>
      <w:r>
        <w:rPr>
          <w:rFonts w:hint="eastAsia" w:ascii="新宋体" w:hAnsi="新宋体" w:eastAsia="新宋体" w:cs="新宋体"/>
          <w:sz w:val="24"/>
          <w:szCs w:val="24"/>
          <w:highlight w:val="none"/>
          <w:lang w:val="en-US" w:eastAsia="zh-CN"/>
        </w:rPr>
        <w:t xml:space="preserve">05 </w:t>
      </w:r>
      <w:r>
        <w:rPr>
          <w:rFonts w:hint="eastAsia" w:ascii="新宋体" w:hAnsi="新宋体" w:eastAsia="新宋体" w:cs="新宋体"/>
          <w:sz w:val="24"/>
          <w:szCs w:val="24"/>
          <w:highlight w:val="none"/>
        </w:rPr>
        <w:t>月</w:t>
      </w:r>
      <w:r>
        <w:rPr>
          <w:rFonts w:hint="eastAsia" w:ascii="新宋体" w:hAnsi="新宋体" w:eastAsia="新宋体" w:cs="新宋体"/>
          <w:sz w:val="24"/>
          <w:szCs w:val="24"/>
          <w:highlight w:val="none"/>
          <w:lang w:val="en-US" w:eastAsia="zh-CN"/>
        </w:rPr>
        <w:t>03</w:t>
      </w:r>
      <w:r>
        <w:rPr>
          <w:rFonts w:hint="eastAsia" w:ascii="新宋体" w:hAnsi="新宋体" w:eastAsia="新宋体" w:cs="新宋体"/>
          <w:sz w:val="24"/>
          <w:szCs w:val="24"/>
          <w:highlight w:val="none"/>
        </w:rPr>
        <w:t>日止</w:t>
      </w:r>
      <w:r>
        <w:rPr>
          <w:rFonts w:hint="eastAsia" w:ascii="新宋体" w:hAnsi="新宋体" w:eastAsia="新宋体" w:cs="新宋体"/>
          <w:sz w:val="24"/>
          <w:szCs w:val="24"/>
        </w:rPr>
        <w:t>（每天上午9：00-11：00，下午15：00-17：00）报名并携带以下资料：</w:t>
      </w:r>
    </w:p>
    <w:p>
      <w:pPr>
        <w:keepNext w:val="0"/>
        <w:keepLines w:val="0"/>
        <w:pageBreakBefore w:val="0"/>
        <w:widowControl w:val="0"/>
        <w:kinsoku/>
        <w:wordWrap/>
        <w:overflowPunct/>
        <w:topLinePunct w:val="0"/>
        <w:autoSpaceDE/>
        <w:autoSpaceDN/>
        <w:bidi w:val="0"/>
        <w:adjustRightInd/>
        <w:snapToGrid w:val="0"/>
        <w:spacing w:line="480" w:lineRule="auto"/>
        <w:ind w:firstLine="480" w:firstLineChars="200"/>
        <w:textAlignment w:val="auto"/>
        <w:rPr>
          <w:rFonts w:hint="eastAsia" w:ascii="新宋体" w:hAnsi="新宋体" w:eastAsia="新宋体" w:cs="新宋体"/>
          <w:sz w:val="24"/>
          <w:szCs w:val="24"/>
        </w:rPr>
      </w:pPr>
      <w:r>
        <w:rPr>
          <w:rFonts w:hint="eastAsia" w:ascii="新宋体" w:hAnsi="新宋体" w:eastAsia="新宋体" w:cs="新宋体"/>
          <w:sz w:val="24"/>
          <w:szCs w:val="24"/>
        </w:rPr>
        <w:t>投标单位企业法人营业执照副本、授权委托书、获得上年度信用等级评定的证明材料（网上截图并加盖公章）、外埠入阜企业提供物业备案证明材料。以上资料均为原件，验后留加盖投标单位公章的复印件或者网上报名，网上报名下载招标文件报名费用</w:t>
      </w:r>
      <w:r>
        <w:rPr>
          <w:rFonts w:hint="eastAsia" w:ascii="新宋体" w:hAnsi="新宋体" w:eastAsia="新宋体" w:cs="新宋体"/>
          <w:sz w:val="24"/>
          <w:szCs w:val="24"/>
          <w:lang w:eastAsia="zh-CN"/>
        </w:rPr>
        <w:t>在报名期限内</w:t>
      </w:r>
      <w:r>
        <w:rPr>
          <w:rFonts w:hint="eastAsia" w:ascii="新宋体" w:hAnsi="新宋体" w:eastAsia="新宋体" w:cs="新宋体"/>
          <w:sz w:val="24"/>
          <w:szCs w:val="24"/>
        </w:rPr>
        <w:t>打到公司指定账户，开标当日需提供电子回执单(收款单位：</w:t>
      </w:r>
      <w:r>
        <w:rPr>
          <w:rFonts w:hint="eastAsia" w:ascii="新宋体" w:hAnsi="新宋体" w:eastAsia="新宋体" w:cs="新宋体"/>
          <w:sz w:val="24"/>
          <w:szCs w:val="24"/>
          <w:lang w:eastAsia="zh-CN"/>
        </w:rPr>
        <w:t>安徽洋航项目管理有限公司</w:t>
      </w:r>
      <w:r>
        <w:rPr>
          <w:rFonts w:hint="eastAsia" w:ascii="新宋体" w:hAnsi="新宋体" w:eastAsia="新宋体" w:cs="新宋体"/>
          <w:sz w:val="24"/>
          <w:szCs w:val="24"/>
          <w:lang w:val="en-US" w:eastAsia="zh-CN"/>
        </w:rPr>
        <w:t xml:space="preserve"> </w:t>
      </w:r>
      <w:r>
        <w:rPr>
          <w:rFonts w:hint="eastAsia" w:ascii="新宋体" w:hAnsi="新宋体" w:eastAsia="新宋体" w:cs="新宋体"/>
          <w:color w:val="000000"/>
          <w:sz w:val="24"/>
          <w:szCs w:val="24"/>
          <w:highlight w:val="none"/>
          <w:lang w:val="en-US" w:eastAsia="zh-CN"/>
        </w:rPr>
        <w:t>开户行：招商银行合肥金屯支行，账号：551905377910601</w:t>
      </w:r>
      <w:r>
        <w:rPr>
          <w:rFonts w:hint="eastAsia" w:ascii="新宋体" w:hAnsi="新宋体" w:eastAsia="新宋体" w:cs="新宋体"/>
          <w:sz w:val="24"/>
          <w:szCs w:val="24"/>
        </w:rPr>
        <w:t>)。</w:t>
      </w:r>
    </w:p>
    <w:p>
      <w:pPr>
        <w:keepNext w:val="0"/>
        <w:keepLines w:val="0"/>
        <w:pageBreakBefore w:val="0"/>
        <w:widowControl w:val="0"/>
        <w:kinsoku/>
        <w:wordWrap/>
        <w:overflowPunct/>
        <w:topLinePunct w:val="0"/>
        <w:autoSpaceDE/>
        <w:autoSpaceDN/>
        <w:bidi w:val="0"/>
        <w:adjustRightInd/>
        <w:snapToGrid w:val="0"/>
        <w:spacing w:line="480" w:lineRule="auto"/>
        <w:ind w:firstLine="482" w:firstLineChars="200"/>
        <w:textAlignment w:val="auto"/>
        <w:rPr>
          <w:rFonts w:hint="eastAsia" w:ascii="新宋体" w:hAnsi="新宋体" w:eastAsia="新宋体" w:cs="新宋体"/>
          <w:sz w:val="24"/>
          <w:szCs w:val="24"/>
        </w:rPr>
      </w:pPr>
      <w:r>
        <w:rPr>
          <w:rFonts w:hint="eastAsia" w:ascii="新宋体" w:hAnsi="新宋体" w:eastAsia="新宋体" w:cs="新宋体"/>
          <w:b/>
          <w:sz w:val="24"/>
          <w:szCs w:val="24"/>
        </w:rPr>
        <w:t>2、</w:t>
      </w:r>
      <w:r>
        <w:rPr>
          <w:rFonts w:hint="eastAsia" w:ascii="新宋体" w:hAnsi="新宋体" w:eastAsia="新宋体" w:cs="新宋体"/>
          <w:sz w:val="24"/>
          <w:szCs w:val="24"/>
        </w:rPr>
        <w:t>本次投标报名及资料费600元/份，售后不退。</w:t>
      </w:r>
    </w:p>
    <w:p>
      <w:pPr>
        <w:keepNext w:val="0"/>
        <w:keepLines w:val="0"/>
        <w:pageBreakBefore w:val="0"/>
        <w:widowControl w:val="0"/>
        <w:kinsoku/>
        <w:wordWrap/>
        <w:overflowPunct/>
        <w:topLinePunct w:val="0"/>
        <w:autoSpaceDE/>
        <w:autoSpaceDN/>
        <w:bidi w:val="0"/>
        <w:adjustRightInd/>
        <w:snapToGrid w:val="0"/>
        <w:spacing w:line="480" w:lineRule="auto"/>
        <w:ind w:firstLine="480" w:firstLineChars="200"/>
        <w:textAlignment w:val="auto"/>
        <w:rPr>
          <w:rFonts w:hint="eastAsia" w:ascii="新宋体" w:hAnsi="新宋体" w:eastAsia="新宋体" w:cs="新宋体"/>
          <w:sz w:val="24"/>
          <w:szCs w:val="24"/>
        </w:rPr>
      </w:pPr>
      <w:r>
        <w:rPr>
          <w:rFonts w:hint="eastAsia" w:ascii="新宋体" w:hAnsi="新宋体" w:eastAsia="新宋体" w:cs="新宋体"/>
          <w:sz w:val="24"/>
          <w:szCs w:val="24"/>
        </w:rPr>
        <w:t>3、中标单位承担本次招标代理费。</w:t>
      </w:r>
    </w:p>
    <w:p>
      <w:pPr>
        <w:keepNext w:val="0"/>
        <w:keepLines w:val="0"/>
        <w:pageBreakBefore w:val="0"/>
        <w:widowControl w:val="0"/>
        <w:kinsoku/>
        <w:wordWrap/>
        <w:overflowPunct/>
        <w:topLinePunct w:val="0"/>
        <w:autoSpaceDE/>
        <w:autoSpaceDN/>
        <w:bidi w:val="0"/>
        <w:adjustRightInd/>
        <w:snapToGrid w:val="0"/>
        <w:spacing w:line="480" w:lineRule="auto"/>
        <w:ind w:firstLine="480" w:firstLineChars="200"/>
        <w:textAlignment w:val="auto"/>
        <w:rPr>
          <w:rFonts w:hint="eastAsia" w:ascii="新宋体" w:hAnsi="新宋体" w:eastAsia="新宋体" w:cs="新宋体"/>
          <w:sz w:val="24"/>
          <w:szCs w:val="24"/>
        </w:rPr>
      </w:pPr>
      <w:r>
        <w:rPr>
          <w:rFonts w:hint="eastAsia" w:ascii="新宋体" w:hAnsi="新宋体" w:eastAsia="新宋体" w:cs="新宋体"/>
          <w:sz w:val="24"/>
          <w:szCs w:val="24"/>
        </w:rPr>
        <w:t>4、报名地点：</w:t>
      </w:r>
      <w:r>
        <w:rPr>
          <w:rFonts w:hint="eastAsia" w:ascii="新宋体" w:hAnsi="新宋体" w:eastAsia="新宋体" w:cs="新宋体"/>
          <w:sz w:val="24"/>
          <w:szCs w:val="24"/>
          <w:lang w:eastAsia="zh-CN"/>
        </w:rPr>
        <w:t>安徽洋航项目管理有限公司</w:t>
      </w:r>
      <w:r>
        <w:rPr>
          <w:rFonts w:hint="eastAsia" w:ascii="新宋体" w:hAnsi="新宋体" w:eastAsia="新宋体" w:cs="新宋体"/>
          <w:sz w:val="24"/>
          <w:szCs w:val="24"/>
        </w:rPr>
        <w:t>（</w:t>
      </w:r>
      <w:r>
        <w:rPr>
          <w:rFonts w:hint="eastAsia" w:ascii="新宋体" w:hAnsi="新宋体" w:eastAsia="新宋体" w:cs="新宋体"/>
          <w:sz w:val="24"/>
          <w:szCs w:val="24"/>
          <w:lang w:val="en-US" w:eastAsia="zh-CN"/>
        </w:rPr>
        <w:t>安徽省阜阳市颍州区颍淮达到与一道河路交叉口天马朝阳大厦2316室</w:t>
      </w:r>
      <w:r>
        <w:rPr>
          <w:rFonts w:hint="eastAsia" w:ascii="新宋体" w:hAnsi="新宋体" w:eastAsia="新宋体" w:cs="新宋体"/>
          <w:sz w:val="24"/>
          <w:szCs w:val="24"/>
        </w:rPr>
        <w:t>）</w:t>
      </w:r>
    </w:p>
    <w:p>
      <w:pPr>
        <w:keepNext w:val="0"/>
        <w:keepLines w:val="0"/>
        <w:pageBreakBefore w:val="0"/>
        <w:widowControl w:val="0"/>
        <w:kinsoku/>
        <w:wordWrap/>
        <w:overflowPunct/>
        <w:topLinePunct w:val="0"/>
        <w:autoSpaceDE/>
        <w:autoSpaceDN/>
        <w:bidi w:val="0"/>
        <w:adjustRightInd/>
        <w:snapToGrid w:val="0"/>
        <w:spacing w:line="480" w:lineRule="auto"/>
        <w:ind w:firstLine="480" w:firstLineChars="200"/>
        <w:jc w:val="both"/>
        <w:textAlignment w:val="auto"/>
        <w:rPr>
          <w:rFonts w:hint="eastAsia" w:ascii="新宋体" w:hAnsi="新宋体" w:eastAsia="新宋体" w:cs="新宋体"/>
          <w:sz w:val="24"/>
          <w:szCs w:val="24"/>
        </w:rPr>
      </w:pPr>
      <w:r>
        <w:rPr>
          <w:rFonts w:hint="eastAsia" w:ascii="新宋体" w:hAnsi="新宋体" w:eastAsia="新宋体" w:cs="新宋体"/>
          <w:sz w:val="24"/>
          <w:szCs w:val="24"/>
        </w:rPr>
        <w:t>四、联系方式</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新宋体" w:hAnsi="新宋体" w:eastAsia="新宋体" w:cs="新宋体"/>
          <w:sz w:val="24"/>
          <w:szCs w:val="24"/>
          <w:lang w:eastAsia="zh-CN"/>
        </w:rPr>
      </w:pPr>
      <w:r>
        <w:rPr>
          <w:rFonts w:hint="eastAsia" w:ascii="新宋体" w:hAnsi="新宋体" w:eastAsia="新宋体" w:cs="新宋体"/>
          <w:sz w:val="24"/>
          <w:szCs w:val="24"/>
        </w:rPr>
        <w:t>招标单位：</w:t>
      </w:r>
      <w:r>
        <w:rPr>
          <w:rFonts w:hint="eastAsia" w:ascii="新宋体" w:hAnsi="新宋体" w:eastAsia="新宋体" w:cs="新宋体"/>
          <w:color w:val="000000"/>
          <w:sz w:val="24"/>
          <w:szCs w:val="24"/>
          <w:shd w:val="clear" w:fill="FFFFFF"/>
        </w:rPr>
        <w:t>阜阳市马梦置业有限公司</w:t>
      </w:r>
      <w:r>
        <w:rPr>
          <w:rStyle w:val="34"/>
          <w:rFonts w:hint="eastAsia" w:ascii="新宋体" w:hAnsi="新宋体" w:eastAsia="新宋体" w:cs="新宋体"/>
          <w:color w:val="333333"/>
          <w:kern w:val="0"/>
          <w:sz w:val="24"/>
          <w:szCs w:val="24"/>
          <w:lang w:val="en-US" w:eastAsia="zh-CN"/>
        </w:rPr>
        <w:t xml:space="preserve">  </w:t>
      </w:r>
      <w:r>
        <w:rPr>
          <w:rFonts w:hint="eastAsia" w:ascii="新宋体" w:hAnsi="新宋体" w:eastAsia="新宋体" w:cs="新宋体"/>
          <w:sz w:val="24"/>
          <w:szCs w:val="24"/>
        </w:rPr>
        <w:t xml:space="preserve">     </w:t>
      </w:r>
      <w:r>
        <w:rPr>
          <w:rFonts w:hint="eastAsia" w:ascii="新宋体" w:hAnsi="新宋体" w:eastAsia="新宋体" w:cs="新宋体"/>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新宋体" w:hAnsi="新宋体" w:eastAsia="新宋体" w:cs="新宋体"/>
          <w:sz w:val="24"/>
          <w:szCs w:val="24"/>
          <w:lang w:eastAsia="zh-CN"/>
        </w:rPr>
      </w:pPr>
      <w:r>
        <w:rPr>
          <w:rFonts w:hint="eastAsia" w:ascii="新宋体" w:hAnsi="新宋体" w:eastAsia="新宋体" w:cs="新宋体"/>
          <w:sz w:val="24"/>
          <w:szCs w:val="24"/>
        </w:rPr>
        <w:t>联系人：</w:t>
      </w:r>
      <w:r>
        <w:rPr>
          <w:rFonts w:hint="eastAsia" w:ascii="新宋体" w:hAnsi="新宋体" w:eastAsia="新宋体" w:cs="新宋体"/>
          <w:sz w:val="24"/>
          <w:szCs w:val="24"/>
          <w:lang w:val="en-US" w:eastAsia="zh-CN"/>
        </w:rPr>
        <w:t xml:space="preserve"> 李经理  </w:t>
      </w:r>
      <w:r>
        <w:rPr>
          <w:rFonts w:hint="eastAsia" w:ascii="新宋体" w:hAnsi="新宋体" w:eastAsia="新宋体" w:cs="新宋体"/>
          <w:sz w:val="24"/>
          <w:szCs w:val="24"/>
        </w:rPr>
        <w:t xml:space="preserve">                          </w:t>
      </w:r>
      <w:r>
        <w:rPr>
          <w:rFonts w:hint="eastAsia" w:ascii="新宋体" w:hAnsi="新宋体" w:eastAsia="新宋体" w:cs="新宋体"/>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新宋体" w:hAnsi="新宋体" w:eastAsia="新宋体" w:cs="新宋体"/>
          <w:sz w:val="24"/>
          <w:szCs w:val="24"/>
        </w:rPr>
      </w:pPr>
      <w:r>
        <w:rPr>
          <w:rFonts w:hint="eastAsia" w:ascii="新宋体" w:hAnsi="新宋体" w:eastAsia="新宋体" w:cs="新宋体"/>
          <w:sz w:val="24"/>
          <w:szCs w:val="24"/>
        </w:rPr>
        <w:t>联系电话：18655807585</w:t>
      </w:r>
      <w:r>
        <w:rPr>
          <w:rFonts w:hint="eastAsia" w:ascii="新宋体" w:hAnsi="新宋体" w:eastAsia="新宋体" w:cs="新宋体"/>
          <w:sz w:val="24"/>
          <w:szCs w:val="24"/>
          <w:lang w:val="en-US" w:eastAsia="zh-CN"/>
        </w:rPr>
        <w:t xml:space="preserve">   </w:t>
      </w:r>
      <w:r>
        <w:rPr>
          <w:rFonts w:hint="eastAsia" w:ascii="新宋体" w:hAnsi="新宋体" w:eastAsia="新宋体" w:cs="新宋体"/>
          <w:sz w:val="24"/>
          <w:szCs w:val="24"/>
        </w:rPr>
        <w:t xml:space="preserve">    </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新宋体" w:hAnsi="新宋体" w:eastAsia="新宋体" w:cs="新宋体"/>
          <w:sz w:val="24"/>
          <w:szCs w:val="24"/>
        </w:rPr>
      </w:pP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新宋体" w:hAnsi="新宋体" w:eastAsia="新宋体" w:cs="新宋体"/>
          <w:sz w:val="24"/>
          <w:szCs w:val="24"/>
          <w:lang w:eastAsia="zh-CN"/>
        </w:rPr>
      </w:pPr>
      <w:r>
        <w:rPr>
          <w:rFonts w:hint="eastAsia" w:ascii="新宋体" w:hAnsi="新宋体" w:eastAsia="新宋体" w:cs="新宋体"/>
          <w:sz w:val="24"/>
          <w:szCs w:val="24"/>
        </w:rPr>
        <w:t>代理机构：</w:t>
      </w:r>
      <w:r>
        <w:rPr>
          <w:rFonts w:hint="eastAsia" w:ascii="新宋体" w:hAnsi="新宋体" w:eastAsia="新宋体" w:cs="新宋体"/>
          <w:sz w:val="24"/>
          <w:szCs w:val="24"/>
          <w:lang w:eastAsia="zh-CN"/>
        </w:rPr>
        <w:t>安徽洋航项目管理有限公司</w:t>
      </w:r>
    </w:p>
    <w:p>
      <w:pPr>
        <w:pStyle w:val="16"/>
        <w:keepNext w:val="0"/>
        <w:keepLines w:val="0"/>
        <w:pageBreakBefore w:val="0"/>
        <w:widowControl w:val="0"/>
        <w:kinsoku/>
        <w:wordWrap/>
        <w:overflowPunct/>
        <w:topLinePunct w:val="0"/>
        <w:autoSpaceDE/>
        <w:autoSpaceDN/>
        <w:bidi w:val="0"/>
        <w:adjustRightInd/>
        <w:spacing w:after="157" w:afterLines="50" w:line="360" w:lineRule="auto"/>
        <w:textAlignment w:val="auto"/>
        <w:rPr>
          <w:rFonts w:hint="eastAsia" w:ascii="新宋体" w:hAnsi="新宋体" w:eastAsia="新宋体" w:cs="新宋体"/>
          <w:sz w:val="11"/>
          <w:szCs w:val="11"/>
          <w:lang w:eastAsia="zh-CN"/>
        </w:rPr>
      </w:pPr>
      <w:r>
        <w:rPr>
          <w:rFonts w:hint="eastAsia" w:ascii="新宋体" w:hAnsi="新宋体" w:eastAsia="新宋体" w:cs="新宋体"/>
          <w:sz w:val="24"/>
          <w:szCs w:val="24"/>
          <w:lang w:val="en-US" w:eastAsia="zh-CN"/>
        </w:rPr>
        <w:t xml:space="preserve"> </w:t>
      </w:r>
      <w:r>
        <w:rPr>
          <w:rFonts w:hint="eastAsia" w:ascii="新宋体" w:hAnsi="新宋体" w:eastAsia="新宋体" w:cs="新宋体"/>
          <w:sz w:val="24"/>
          <w:szCs w:val="24"/>
        </w:rPr>
        <w:t>联系人：</w:t>
      </w:r>
      <w:r>
        <w:rPr>
          <w:rFonts w:hint="eastAsia" w:ascii="新宋体" w:hAnsi="新宋体" w:eastAsia="新宋体" w:cs="新宋体"/>
          <w:sz w:val="24"/>
          <w:szCs w:val="24"/>
          <w:lang w:eastAsia="zh-CN"/>
        </w:rPr>
        <w:t>李工</w:t>
      </w:r>
    </w:p>
    <w:p>
      <w:pPr>
        <w:keepNext w:val="0"/>
        <w:keepLines w:val="0"/>
        <w:pageBreakBefore w:val="0"/>
        <w:widowControl w:val="0"/>
        <w:kinsoku/>
        <w:wordWrap/>
        <w:overflowPunct/>
        <w:topLinePunct w:val="0"/>
        <w:autoSpaceDE/>
        <w:autoSpaceDN/>
        <w:bidi w:val="0"/>
        <w:adjustRightInd/>
        <w:snapToGrid w:val="0"/>
        <w:spacing w:after="157" w:afterLines="50" w:line="360" w:lineRule="auto"/>
        <w:ind w:firstLine="480" w:firstLineChars="200"/>
        <w:jc w:val="both"/>
        <w:textAlignment w:val="auto"/>
        <w:rPr>
          <w:rStyle w:val="34"/>
          <w:rFonts w:hint="eastAsia" w:ascii="新宋体" w:hAnsi="新宋体" w:eastAsia="新宋体" w:cs="新宋体"/>
          <w:color w:val="333333"/>
          <w:kern w:val="0"/>
          <w:sz w:val="24"/>
          <w:szCs w:val="24"/>
        </w:rPr>
      </w:pPr>
      <w:r>
        <w:rPr>
          <w:rFonts w:hint="eastAsia" w:ascii="新宋体" w:hAnsi="新宋体" w:eastAsia="新宋体" w:cs="新宋体"/>
          <w:sz w:val="24"/>
          <w:szCs w:val="24"/>
        </w:rPr>
        <w:t>联系电话：</w:t>
      </w:r>
      <w:r>
        <w:rPr>
          <w:rFonts w:hint="eastAsia" w:ascii="新宋体" w:hAnsi="新宋体" w:eastAsia="新宋体" w:cs="新宋体"/>
          <w:sz w:val="24"/>
          <w:szCs w:val="24"/>
          <w:lang w:val="en-US" w:eastAsia="zh-CN"/>
        </w:rPr>
        <w:t>18269989958</w:t>
      </w:r>
    </w:p>
    <w:p>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jc w:val="right"/>
        <w:textAlignment w:val="auto"/>
        <w:rPr>
          <w:rFonts w:hint="eastAsia" w:ascii="新宋体" w:hAnsi="新宋体" w:eastAsia="新宋体" w:cs="新宋体"/>
          <w:color w:val="000000"/>
          <w:sz w:val="24"/>
          <w:szCs w:val="24"/>
          <w:shd w:val="clear" w:fill="FFFFFF"/>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jc w:val="right"/>
        <w:textAlignment w:val="auto"/>
        <w:rPr>
          <w:rFonts w:hint="eastAsia" w:ascii="新宋体" w:hAnsi="新宋体" w:eastAsia="新宋体" w:cs="新宋体"/>
          <w:color w:val="000000"/>
          <w:sz w:val="24"/>
          <w:szCs w:val="24"/>
          <w:shd w:val="clear" w:fill="FFFFFF"/>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jc w:val="right"/>
        <w:textAlignment w:val="auto"/>
        <w:rPr>
          <w:rFonts w:hint="eastAsia" w:ascii="新宋体" w:hAnsi="新宋体" w:eastAsia="新宋体" w:cs="新宋体"/>
          <w:sz w:val="24"/>
          <w:szCs w:val="24"/>
          <w:lang w:val="en-US" w:eastAsia="zh-CN"/>
        </w:rPr>
      </w:pPr>
      <w:r>
        <w:rPr>
          <w:rFonts w:hint="eastAsia" w:ascii="新宋体" w:hAnsi="新宋体" w:eastAsia="新宋体" w:cs="新宋体"/>
          <w:color w:val="000000"/>
          <w:sz w:val="24"/>
          <w:szCs w:val="24"/>
          <w:shd w:val="clear" w:fill="FFFFFF"/>
          <w:lang w:val="en-US" w:eastAsia="zh-CN"/>
        </w:rPr>
        <w:t xml:space="preserve">   </w:t>
      </w:r>
      <w:r>
        <w:rPr>
          <w:rFonts w:hint="eastAsia" w:ascii="新宋体" w:hAnsi="新宋体" w:eastAsia="新宋体" w:cs="新宋体"/>
          <w:color w:val="000000"/>
          <w:sz w:val="24"/>
          <w:szCs w:val="24"/>
          <w:shd w:val="clear" w:fill="FFFFFF"/>
        </w:rPr>
        <w:t>阜阳市马梦置业有限公司</w:t>
      </w:r>
      <w:r>
        <w:rPr>
          <w:rFonts w:hint="eastAsia" w:ascii="新宋体" w:hAnsi="新宋体" w:eastAsia="新宋体" w:cs="新宋体"/>
          <w:sz w:val="24"/>
          <w:szCs w:val="24"/>
        </w:rPr>
        <w:t xml:space="preserve">　　　　　　　　　　　　　　　 　  </w:t>
      </w:r>
      <w:r>
        <w:rPr>
          <w:rFonts w:hint="eastAsia" w:ascii="新宋体" w:hAnsi="新宋体" w:eastAsia="新宋体" w:cs="新宋体"/>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jc w:val="right"/>
        <w:textAlignment w:val="auto"/>
        <w:rPr>
          <w:rFonts w:hint="eastAsia" w:ascii="新宋体" w:hAnsi="新宋体" w:eastAsia="新宋体" w:cs="新宋体"/>
          <w:sz w:val="24"/>
          <w:szCs w:val="24"/>
        </w:rPr>
      </w:pPr>
      <w:r>
        <w:rPr>
          <w:rFonts w:hint="eastAsia" w:ascii="新宋体" w:hAnsi="新宋体" w:eastAsia="新宋体" w:cs="新宋体"/>
          <w:sz w:val="24"/>
          <w:szCs w:val="24"/>
        </w:rPr>
        <w:t>二○二</w:t>
      </w:r>
      <w:r>
        <w:rPr>
          <w:rFonts w:hint="eastAsia" w:ascii="新宋体" w:hAnsi="新宋体" w:eastAsia="新宋体" w:cs="新宋体"/>
          <w:sz w:val="24"/>
          <w:szCs w:val="24"/>
          <w:lang w:eastAsia="zh-CN"/>
        </w:rPr>
        <w:t>一</w:t>
      </w:r>
      <w:r>
        <w:rPr>
          <w:rFonts w:hint="eastAsia" w:ascii="新宋体" w:hAnsi="新宋体" w:eastAsia="新宋体" w:cs="新宋体"/>
          <w:sz w:val="24"/>
          <w:szCs w:val="24"/>
        </w:rPr>
        <w:t>年</w:t>
      </w:r>
      <w:r>
        <w:rPr>
          <w:rFonts w:hint="eastAsia" w:ascii="新宋体" w:hAnsi="新宋体" w:eastAsia="新宋体" w:cs="新宋体"/>
          <w:sz w:val="24"/>
          <w:szCs w:val="24"/>
          <w:lang w:val="en-US" w:eastAsia="zh-CN"/>
        </w:rPr>
        <w:t>04</w:t>
      </w:r>
      <w:r>
        <w:rPr>
          <w:rFonts w:hint="eastAsia" w:ascii="新宋体" w:hAnsi="新宋体" w:eastAsia="新宋体" w:cs="新宋体"/>
          <w:sz w:val="24"/>
          <w:szCs w:val="24"/>
        </w:rPr>
        <w:t>月</w:t>
      </w:r>
      <w:r>
        <w:rPr>
          <w:rFonts w:hint="eastAsia" w:ascii="新宋体" w:hAnsi="新宋体" w:eastAsia="新宋体" w:cs="新宋体"/>
          <w:sz w:val="24"/>
          <w:szCs w:val="24"/>
          <w:lang w:val="en-US" w:eastAsia="zh-CN"/>
        </w:rPr>
        <w:t>29</w:t>
      </w:r>
      <w:r>
        <w:rPr>
          <w:rFonts w:hint="eastAsia" w:ascii="新宋体" w:hAnsi="新宋体" w:eastAsia="新宋体" w:cs="新宋体"/>
          <w:sz w:val="24"/>
          <w:szCs w:val="24"/>
        </w:rPr>
        <w:t>日</w:t>
      </w:r>
    </w:p>
    <w:p>
      <w:pPr>
        <w:pStyle w:val="4"/>
        <w:spacing w:line="500" w:lineRule="exact"/>
        <w:ind w:firstLine="3534" w:firstLineChars="1100"/>
        <w:rPr>
          <w:rFonts w:hint="eastAsia" w:ascii="新宋体" w:hAnsi="新宋体" w:eastAsia="新宋体" w:cs="新宋体"/>
        </w:rPr>
      </w:pPr>
    </w:p>
    <w:p>
      <w:pPr>
        <w:rPr>
          <w:rFonts w:hint="eastAsia" w:ascii="新宋体" w:hAnsi="新宋体" w:eastAsia="新宋体" w:cs="新宋体"/>
        </w:rPr>
      </w:pPr>
    </w:p>
    <w:p>
      <w:pPr>
        <w:pStyle w:val="16"/>
        <w:rPr>
          <w:rFonts w:hint="eastAsia" w:ascii="新宋体" w:hAnsi="新宋体" w:eastAsia="新宋体" w:cs="新宋体"/>
        </w:rPr>
      </w:pPr>
    </w:p>
    <w:p>
      <w:pPr>
        <w:pStyle w:val="16"/>
        <w:ind w:left="0" w:leftChars="0" w:firstLine="0" w:firstLineChars="0"/>
        <w:rPr>
          <w:rFonts w:hint="eastAsia" w:ascii="新宋体" w:hAnsi="新宋体" w:eastAsia="新宋体" w:cs="新宋体"/>
        </w:rPr>
      </w:pPr>
    </w:p>
    <w:p>
      <w:pPr>
        <w:pStyle w:val="4"/>
        <w:spacing w:line="500" w:lineRule="exact"/>
        <w:ind w:firstLine="3534" w:firstLineChars="1100"/>
        <w:rPr>
          <w:rFonts w:hint="eastAsia" w:ascii="新宋体" w:hAnsi="新宋体" w:eastAsia="新宋体" w:cs="新宋体"/>
          <w:b w:val="0"/>
        </w:rPr>
      </w:pPr>
      <w:r>
        <w:rPr>
          <w:rFonts w:hint="eastAsia" w:ascii="新宋体" w:hAnsi="新宋体" w:eastAsia="新宋体" w:cs="新宋体"/>
          <w:lang w:eastAsia="zh-CN"/>
        </w:rPr>
        <w:t>第二章、</w:t>
      </w:r>
      <w:r>
        <w:rPr>
          <w:rFonts w:hint="eastAsia" w:ascii="新宋体" w:hAnsi="新宋体" w:eastAsia="新宋体" w:cs="新宋体"/>
        </w:rPr>
        <w:t>投标人须</w:t>
      </w:r>
      <w:bookmarkEnd w:id="0"/>
      <w:r>
        <w:rPr>
          <w:rFonts w:hint="eastAsia" w:ascii="新宋体" w:hAnsi="新宋体" w:eastAsia="新宋体" w:cs="新宋体"/>
        </w:rPr>
        <w:t>知前</w:t>
      </w:r>
      <w:bookmarkEnd w:id="1"/>
      <w:r>
        <w:rPr>
          <w:rFonts w:hint="eastAsia" w:ascii="新宋体" w:hAnsi="新宋体" w:eastAsia="新宋体" w:cs="新宋体"/>
        </w:rPr>
        <w:t>附表</w:t>
      </w:r>
      <w:bookmarkEnd w:id="2"/>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2424"/>
        <w:gridCol w:w="6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77" w:type="dxa"/>
            <w:noWrap w:val="0"/>
            <w:vAlign w:val="center"/>
          </w:tcPr>
          <w:p>
            <w:pPr>
              <w:snapToGrid w:val="0"/>
              <w:spacing w:line="240" w:lineRule="atLeast"/>
              <w:jc w:val="center"/>
              <w:rPr>
                <w:rFonts w:hint="eastAsia" w:ascii="新宋体" w:hAnsi="新宋体" w:eastAsia="新宋体" w:cs="新宋体"/>
                <w:b/>
                <w:sz w:val="24"/>
              </w:rPr>
            </w:pPr>
            <w:r>
              <w:rPr>
                <w:rFonts w:hint="eastAsia" w:ascii="新宋体" w:hAnsi="新宋体" w:eastAsia="新宋体" w:cs="新宋体"/>
                <w:b/>
                <w:sz w:val="24"/>
              </w:rPr>
              <w:t>序号</w:t>
            </w:r>
          </w:p>
        </w:tc>
        <w:tc>
          <w:tcPr>
            <w:tcW w:w="2424" w:type="dxa"/>
            <w:noWrap w:val="0"/>
            <w:vAlign w:val="center"/>
          </w:tcPr>
          <w:p>
            <w:pPr>
              <w:snapToGrid w:val="0"/>
              <w:spacing w:line="240" w:lineRule="atLeast"/>
              <w:jc w:val="center"/>
              <w:rPr>
                <w:rFonts w:hint="eastAsia" w:ascii="新宋体" w:hAnsi="新宋体" w:eastAsia="新宋体" w:cs="新宋体"/>
                <w:b/>
                <w:sz w:val="24"/>
              </w:rPr>
            </w:pPr>
            <w:r>
              <w:rPr>
                <w:rFonts w:hint="eastAsia" w:ascii="新宋体" w:hAnsi="新宋体" w:eastAsia="新宋体" w:cs="新宋体"/>
                <w:b/>
                <w:sz w:val="24"/>
              </w:rPr>
              <w:t>内容</w:t>
            </w:r>
          </w:p>
        </w:tc>
        <w:tc>
          <w:tcPr>
            <w:tcW w:w="6178" w:type="dxa"/>
            <w:noWrap w:val="0"/>
            <w:vAlign w:val="center"/>
          </w:tcPr>
          <w:p>
            <w:pPr>
              <w:pStyle w:val="32"/>
              <w:widowControl w:val="0"/>
              <w:snapToGrid w:val="0"/>
              <w:spacing w:before="0" w:beforeAutospacing="0" w:after="0" w:afterAutospacing="0" w:line="240" w:lineRule="atLeast"/>
              <w:rPr>
                <w:rFonts w:hint="eastAsia" w:ascii="新宋体" w:hAnsi="新宋体" w:eastAsia="新宋体" w:cs="新宋体"/>
                <w:bCs w:val="0"/>
                <w:kern w:val="2"/>
                <w:sz w:val="24"/>
                <w:szCs w:val="20"/>
              </w:rPr>
            </w:pPr>
            <w:r>
              <w:rPr>
                <w:rFonts w:hint="eastAsia" w:ascii="新宋体" w:hAnsi="新宋体" w:eastAsia="新宋体" w:cs="新宋体"/>
                <w:bCs w:val="0"/>
                <w:kern w:val="2"/>
                <w:sz w:val="24"/>
                <w:szCs w:val="20"/>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877" w:type="dxa"/>
            <w:noWrap w:val="0"/>
            <w:vAlign w:val="center"/>
          </w:tcPr>
          <w:p>
            <w:pPr>
              <w:pStyle w:val="30"/>
              <w:pBdr>
                <w:bottom w:val="none" w:color="auto" w:sz="0" w:space="0"/>
              </w:pBdr>
              <w:tabs>
                <w:tab w:val="clear" w:pos="4153"/>
                <w:tab w:val="clear" w:pos="8306"/>
              </w:tabs>
              <w:adjustRightInd/>
              <w:snapToGrid w:val="0"/>
              <w:textAlignment w:val="auto"/>
              <w:rPr>
                <w:rFonts w:hint="eastAsia" w:ascii="新宋体" w:hAnsi="新宋体" w:eastAsia="新宋体" w:cs="新宋体"/>
                <w:bCs/>
                <w:kern w:val="2"/>
              </w:rPr>
            </w:pPr>
            <w:r>
              <w:rPr>
                <w:rFonts w:hint="eastAsia" w:ascii="新宋体" w:hAnsi="新宋体" w:eastAsia="新宋体" w:cs="新宋体"/>
                <w:bCs/>
                <w:kern w:val="2"/>
              </w:rPr>
              <w:t>1</w:t>
            </w:r>
          </w:p>
        </w:tc>
        <w:tc>
          <w:tcPr>
            <w:tcW w:w="2424" w:type="dxa"/>
            <w:noWrap w:val="0"/>
            <w:vAlign w:val="center"/>
          </w:tcPr>
          <w:p>
            <w:pPr>
              <w:snapToGrid w:val="0"/>
              <w:spacing w:line="240" w:lineRule="atLeast"/>
              <w:jc w:val="center"/>
              <w:rPr>
                <w:rFonts w:hint="eastAsia" w:ascii="新宋体" w:hAnsi="新宋体" w:eastAsia="新宋体" w:cs="新宋体"/>
                <w:bCs/>
                <w:sz w:val="24"/>
              </w:rPr>
            </w:pPr>
            <w:r>
              <w:rPr>
                <w:rFonts w:hint="eastAsia" w:ascii="新宋体" w:hAnsi="新宋体" w:eastAsia="新宋体" w:cs="新宋体"/>
                <w:bCs/>
                <w:sz w:val="24"/>
              </w:rPr>
              <w:t>招标人</w:t>
            </w:r>
          </w:p>
        </w:tc>
        <w:tc>
          <w:tcPr>
            <w:tcW w:w="6178" w:type="dxa"/>
            <w:noWrap w:val="0"/>
            <w:vAlign w:val="center"/>
          </w:tcPr>
          <w:p>
            <w:pPr>
              <w:snapToGrid w:val="0"/>
              <w:spacing w:line="240" w:lineRule="atLeast"/>
              <w:rPr>
                <w:rFonts w:hint="eastAsia" w:ascii="新宋体" w:hAnsi="新宋体" w:eastAsia="新宋体" w:cs="新宋体"/>
                <w:bCs/>
                <w:sz w:val="24"/>
                <w:szCs w:val="24"/>
              </w:rPr>
            </w:pPr>
            <w:r>
              <w:rPr>
                <w:rFonts w:hint="eastAsia" w:ascii="新宋体" w:hAnsi="新宋体" w:eastAsia="新宋体" w:cs="新宋体"/>
                <w:bCs/>
                <w:sz w:val="24"/>
                <w:szCs w:val="24"/>
              </w:rPr>
              <w:t>阜阳市马梦置业有限公司</w:t>
            </w:r>
          </w:p>
          <w:p>
            <w:pPr>
              <w:snapToGrid w:val="0"/>
              <w:spacing w:line="240" w:lineRule="atLeast"/>
              <w:rPr>
                <w:rFonts w:hint="eastAsia" w:ascii="新宋体" w:hAnsi="新宋体" w:eastAsia="新宋体" w:cs="新宋体"/>
                <w:bCs/>
                <w:sz w:val="24"/>
                <w:szCs w:val="24"/>
                <w:lang w:eastAsia="zh-CN"/>
              </w:rPr>
            </w:pPr>
            <w:r>
              <w:rPr>
                <w:rFonts w:hint="eastAsia" w:ascii="新宋体" w:hAnsi="新宋体" w:eastAsia="新宋体" w:cs="新宋体"/>
                <w:bCs/>
                <w:sz w:val="24"/>
                <w:szCs w:val="24"/>
              </w:rPr>
              <w:t>联系人：</w:t>
            </w:r>
            <w:r>
              <w:rPr>
                <w:rFonts w:hint="eastAsia" w:ascii="新宋体" w:hAnsi="新宋体" w:eastAsia="新宋体" w:cs="新宋体"/>
                <w:sz w:val="24"/>
                <w:szCs w:val="24"/>
                <w:lang w:val="en-US" w:eastAsia="zh-CN"/>
              </w:rPr>
              <w:t xml:space="preserve">李经理 </w:t>
            </w:r>
            <w:r>
              <w:rPr>
                <w:rFonts w:hint="eastAsia" w:ascii="新宋体" w:hAnsi="新宋体" w:eastAsia="新宋体" w:cs="新宋体"/>
                <w:sz w:val="21"/>
                <w:szCs w:val="21"/>
                <w:lang w:val="en-US" w:eastAsia="zh-CN"/>
              </w:rPr>
              <w:t xml:space="preserve"> </w:t>
            </w:r>
            <w:r>
              <w:rPr>
                <w:rFonts w:hint="eastAsia" w:ascii="新宋体" w:hAnsi="新宋体" w:eastAsia="新宋体" w:cs="新宋体"/>
                <w:bCs/>
                <w:sz w:val="24"/>
                <w:szCs w:val="24"/>
                <w:lang w:val="en-US" w:eastAsia="zh-CN"/>
              </w:rPr>
              <w:t xml:space="preserve">      </w:t>
            </w:r>
            <w:r>
              <w:rPr>
                <w:rFonts w:hint="eastAsia" w:ascii="新宋体" w:hAnsi="新宋体" w:eastAsia="新宋体" w:cs="新宋体"/>
                <w:sz w:val="21"/>
                <w:szCs w:val="21"/>
                <w:lang w:val="en-US" w:eastAsia="zh-CN"/>
              </w:rPr>
              <w:t xml:space="preserve"> </w:t>
            </w:r>
            <w:r>
              <w:rPr>
                <w:rFonts w:hint="eastAsia" w:ascii="新宋体" w:hAnsi="新宋体" w:eastAsia="新宋体" w:cs="新宋体"/>
                <w:bCs/>
                <w:sz w:val="24"/>
                <w:szCs w:val="24"/>
              </w:rPr>
              <w:t>联系电话：</w:t>
            </w:r>
            <w:r>
              <w:rPr>
                <w:rFonts w:hint="eastAsia" w:ascii="新宋体" w:hAnsi="新宋体" w:eastAsia="新宋体" w:cs="新宋体"/>
                <w:sz w:val="24"/>
                <w:szCs w:val="24"/>
              </w:rPr>
              <w:t>18655807585</w:t>
            </w:r>
            <w:r>
              <w:rPr>
                <w:rFonts w:hint="eastAsia" w:ascii="新宋体" w:hAnsi="新宋体" w:eastAsia="新宋体" w:cs="新宋体"/>
                <w:sz w:val="21"/>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877" w:type="dxa"/>
            <w:noWrap w:val="0"/>
            <w:vAlign w:val="center"/>
          </w:tcPr>
          <w:p>
            <w:pPr>
              <w:snapToGrid w:val="0"/>
              <w:spacing w:line="240" w:lineRule="atLeast"/>
              <w:jc w:val="center"/>
              <w:rPr>
                <w:rFonts w:hint="eastAsia" w:ascii="新宋体" w:hAnsi="新宋体" w:eastAsia="新宋体" w:cs="新宋体"/>
                <w:bCs/>
                <w:sz w:val="24"/>
              </w:rPr>
            </w:pPr>
            <w:r>
              <w:rPr>
                <w:rFonts w:hint="eastAsia" w:ascii="新宋体" w:hAnsi="新宋体" w:eastAsia="新宋体" w:cs="新宋体"/>
                <w:bCs/>
                <w:sz w:val="24"/>
              </w:rPr>
              <w:t>2</w:t>
            </w:r>
          </w:p>
        </w:tc>
        <w:tc>
          <w:tcPr>
            <w:tcW w:w="2424" w:type="dxa"/>
            <w:noWrap w:val="0"/>
            <w:vAlign w:val="center"/>
          </w:tcPr>
          <w:p>
            <w:pPr>
              <w:snapToGrid w:val="0"/>
              <w:spacing w:line="240" w:lineRule="atLeast"/>
              <w:jc w:val="center"/>
              <w:rPr>
                <w:rFonts w:hint="eastAsia" w:ascii="新宋体" w:hAnsi="新宋体" w:eastAsia="新宋体" w:cs="新宋体"/>
                <w:bCs/>
                <w:sz w:val="24"/>
              </w:rPr>
            </w:pPr>
            <w:r>
              <w:rPr>
                <w:rFonts w:hint="eastAsia" w:ascii="新宋体" w:hAnsi="新宋体" w:eastAsia="新宋体" w:cs="新宋体"/>
                <w:bCs/>
                <w:sz w:val="24"/>
              </w:rPr>
              <w:t>代理机构</w:t>
            </w:r>
          </w:p>
        </w:tc>
        <w:tc>
          <w:tcPr>
            <w:tcW w:w="6178" w:type="dxa"/>
            <w:noWrap w:val="0"/>
            <w:vAlign w:val="center"/>
          </w:tcPr>
          <w:p>
            <w:pPr>
              <w:snapToGrid w:val="0"/>
              <w:spacing w:line="240" w:lineRule="atLeast"/>
              <w:rPr>
                <w:rFonts w:hint="eastAsia" w:ascii="新宋体" w:hAnsi="新宋体" w:eastAsia="新宋体" w:cs="新宋体"/>
                <w:sz w:val="24"/>
                <w:szCs w:val="24"/>
                <w:lang w:eastAsia="zh-CN"/>
              </w:rPr>
            </w:pPr>
            <w:r>
              <w:rPr>
                <w:rFonts w:hint="eastAsia" w:ascii="新宋体" w:hAnsi="新宋体" w:eastAsia="新宋体" w:cs="新宋体"/>
                <w:bCs/>
                <w:iCs/>
                <w:sz w:val="24"/>
                <w:szCs w:val="24"/>
                <w:lang w:eastAsia="zh-CN"/>
              </w:rPr>
              <w:t>安徽洋航项目管理有限公司</w:t>
            </w:r>
          </w:p>
          <w:p>
            <w:pPr>
              <w:snapToGrid w:val="0"/>
              <w:spacing w:line="240" w:lineRule="atLeast"/>
              <w:rPr>
                <w:rFonts w:hint="eastAsia" w:ascii="新宋体" w:hAnsi="新宋体" w:eastAsia="新宋体" w:cs="新宋体"/>
                <w:bCs/>
                <w:sz w:val="24"/>
                <w:szCs w:val="24"/>
                <w:lang w:val="en-US" w:eastAsia="zh-CN"/>
              </w:rPr>
            </w:pPr>
            <w:r>
              <w:rPr>
                <w:rFonts w:hint="eastAsia" w:ascii="新宋体" w:hAnsi="新宋体" w:eastAsia="新宋体" w:cs="新宋体"/>
                <w:bCs/>
                <w:sz w:val="24"/>
                <w:szCs w:val="24"/>
              </w:rPr>
              <w:t>联系人：</w:t>
            </w:r>
            <w:r>
              <w:rPr>
                <w:rFonts w:hint="eastAsia" w:ascii="新宋体" w:hAnsi="新宋体" w:eastAsia="新宋体" w:cs="新宋体"/>
                <w:bCs/>
                <w:sz w:val="24"/>
                <w:szCs w:val="24"/>
                <w:lang w:eastAsia="zh-CN"/>
              </w:rPr>
              <w:t>李工</w:t>
            </w:r>
            <w:r>
              <w:rPr>
                <w:rFonts w:hint="eastAsia" w:ascii="新宋体" w:hAnsi="新宋体" w:eastAsia="新宋体" w:cs="新宋体"/>
                <w:bCs/>
                <w:sz w:val="24"/>
                <w:szCs w:val="24"/>
              </w:rPr>
              <w:t xml:space="preserve">       </w:t>
            </w:r>
            <w:r>
              <w:rPr>
                <w:rFonts w:hint="eastAsia" w:ascii="新宋体" w:hAnsi="新宋体" w:eastAsia="新宋体" w:cs="新宋体"/>
                <w:bCs/>
                <w:sz w:val="24"/>
                <w:szCs w:val="24"/>
                <w:lang w:val="en-US" w:eastAsia="zh-CN"/>
              </w:rPr>
              <w:t xml:space="preserve">    </w:t>
            </w:r>
            <w:r>
              <w:rPr>
                <w:rFonts w:hint="eastAsia" w:ascii="新宋体" w:hAnsi="新宋体" w:eastAsia="新宋体" w:cs="新宋体"/>
                <w:bCs/>
                <w:sz w:val="24"/>
                <w:szCs w:val="24"/>
              </w:rPr>
              <w:t>联系电话：</w:t>
            </w:r>
            <w:r>
              <w:rPr>
                <w:rFonts w:hint="eastAsia" w:ascii="新宋体" w:hAnsi="新宋体" w:eastAsia="新宋体" w:cs="新宋体"/>
                <w:sz w:val="24"/>
                <w:szCs w:val="24"/>
                <w:lang w:val="en-US" w:eastAsia="zh-CN"/>
              </w:rPr>
              <w:t>18269989958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77" w:type="dxa"/>
            <w:noWrap w:val="0"/>
            <w:vAlign w:val="center"/>
          </w:tcPr>
          <w:p>
            <w:pPr>
              <w:snapToGrid w:val="0"/>
              <w:spacing w:line="240" w:lineRule="atLeast"/>
              <w:jc w:val="center"/>
              <w:rPr>
                <w:rFonts w:hint="eastAsia" w:ascii="新宋体" w:hAnsi="新宋体" w:eastAsia="新宋体" w:cs="新宋体"/>
                <w:bCs/>
                <w:sz w:val="24"/>
              </w:rPr>
            </w:pPr>
            <w:r>
              <w:rPr>
                <w:rFonts w:hint="eastAsia" w:ascii="新宋体" w:hAnsi="新宋体" w:eastAsia="新宋体" w:cs="新宋体"/>
                <w:bCs/>
                <w:sz w:val="24"/>
              </w:rPr>
              <w:t>3</w:t>
            </w:r>
          </w:p>
        </w:tc>
        <w:tc>
          <w:tcPr>
            <w:tcW w:w="2424" w:type="dxa"/>
            <w:noWrap w:val="0"/>
            <w:vAlign w:val="center"/>
          </w:tcPr>
          <w:p>
            <w:pPr>
              <w:snapToGrid w:val="0"/>
              <w:spacing w:line="240" w:lineRule="atLeast"/>
              <w:jc w:val="center"/>
              <w:rPr>
                <w:rFonts w:hint="eastAsia" w:ascii="新宋体" w:hAnsi="新宋体" w:eastAsia="新宋体" w:cs="新宋体"/>
                <w:sz w:val="24"/>
              </w:rPr>
            </w:pPr>
            <w:r>
              <w:rPr>
                <w:rFonts w:hint="eastAsia" w:ascii="新宋体" w:hAnsi="新宋体" w:eastAsia="新宋体" w:cs="新宋体"/>
                <w:sz w:val="24"/>
              </w:rPr>
              <w:t>项目名称</w:t>
            </w:r>
          </w:p>
        </w:tc>
        <w:tc>
          <w:tcPr>
            <w:tcW w:w="6178" w:type="dxa"/>
            <w:noWrap w:val="0"/>
            <w:vAlign w:val="center"/>
          </w:tcPr>
          <w:p>
            <w:pPr>
              <w:pStyle w:val="32"/>
              <w:widowControl w:val="0"/>
              <w:snapToGrid w:val="0"/>
              <w:spacing w:before="0" w:beforeAutospacing="0" w:after="0" w:afterAutospacing="0" w:line="240" w:lineRule="atLeast"/>
              <w:jc w:val="both"/>
              <w:rPr>
                <w:rFonts w:hint="eastAsia" w:ascii="新宋体" w:hAnsi="新宋体" w:eastAsia="新宋体" w:cs="新宋体"/>
                <w:b w:val="0"/>
                <w:bCs w:val="0"/>
                <w:sz w:val="24"/>
                <w:szCs w:val="24"/>
                <w:lang w:eastAsia="zh-CN"/>
              </w:rPr>
            </w:pPr>
            <w:r>
              <w:rPr>
                <w:rFonts w:hint="eastAsia" w:ascii="新宋体" w:hAnsi="新宋体" w:eastAsia="新宋体" w:cs="新宋体"/>
                <w:b w:val="0"/>
                <w:bCs w:val="0"/>
                <w:sz w:val="24"/>
                <w:szCs w:val="24"/>
                <w:lang w:eastAsia="zh-CN"/>
              </w:rPr>
              <w:t>阜阳市颍泉区金马爱梦天宸前期物业管理项目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77" w:type="dxa"/>
            <w:noWrap w:val="0"/>
            <w:vAlign w:val="center"/>
          </w:tcPr>
          <w:p>
            <w:pPr>
              <w:snapToGrid w:val="0"/>
              <w:spacing w:line="240" w:lineRule="atLeast"/>
              <w:jc w:val="center"/>
              <w:rPr>
                <w:rFonts w:hint="eastAsia" w:ascii="新宋体" w:hAnsi="新宋体" w:eastAsia="新宋体" w:cs="新宋体"/>
                <w:bCs/>
                <w:sz w:val="24"/>
              </w:rPr>
            </w:pPr>
            <w:r>
              <w:rPr>
                <w:rFonts w:hint="eastAsia" w:ascii="新宋体" w:hAnsi="新宋体" w:eastAsia="新宋体" w:cs="新宋体"/>
                <w:bCs/>
                <w:sz w:val="24"/>
              </w:rPr>
              <w:t>4</w:t>
            </w:r>
          </w:p>
        </w:tc>
        <w:tc>
          <w:tcPr>
            <w:tcW w:w="2424" w:type="dxa"/>
            <w:noWrap w:val="0"/>
            <w:vAlign w:val="center"/>
          </w:tcPr>
          <w:p>
            <w:pPr>
              <w:snapToGrid w:val="0"/>
              <w:spacing w:line="240" w:lineRule="atLeast"/>
              <w:jc w:val="center"/>
              <w:rPr>
                <w:rFonts w:hint="eastAsia" w:ascii="新宋体" w:hAnsi="新宋体" w:eastAsia="新宋体" w:cs="新宋体"/>
                <w:sz w:val="24"/>
              </w:rPr>
            </w:pPr>
            <w:r>
              <w:rPr>
                <w:rFonts w:hint="eastAsia" w:ascii="新宋体" w:hAnsi="新宋体" w:eastAsia="新宋体" w:cs="新宋体"/>
                <w:sz w:val="24"/>
              </w:rPr>
              <w:t>项目性质</w:t>
            </w:r>
          </w:p>
        </w:tc>
        <w:tc>
          <w:tcPr>
            <w:tcW w:w="6178" w:type="dxa"/>
            <w:noWrap w:val="0"/>
            <w:vAlign w:val="center"/>
          </w:tcPr>
          <w:p>
            <w:pPr>
              <w:pStyle w:val="32"/>
              <w:widowControl w:val="0"/>
              <w:snapToGrid w:val="0"/>
              <w:spacing w:before="0" w:beforeAutospacing="0" w:after="0" w:afterAutospacing="0" w:line="240" w:lineRule="atLeast"/>
              <w:jc w:val="both"/>
              <w:rPr>
                <w:rFonts w:hint="eastAsia" w:ascii="新宋体" w:hAnsi="新宋体" w:eastAsia="新宋体" w:cs="新宋体"/>
                <w:b w:val="0"/>
                <w:bCs w:val="0"/>
                <w:sz w:val="24"/>
                <w:szCs w:val="24"/>
              </w:rPr>
            </w:pPr>
            <w:r>
              <w:rPr>
                <w:rFonts w:hint="eastAsia" w:ascii="新宋体" w:hAnsi="新宋体" w:eastAsia="新宋体" w:cs="新宋体"/>
                <w:b w:val="0"/>
                <w:bCs w:val="0"/>
                <w:sz w:val="24"/>
                <w:szCs w:val="24"/>
              </w:rPr>
              <w:t>服务类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77" w:type="dxa"/>
            <w:noWrap w:val="0"/>
            <w:vAlign w:val="center"/>
          </w:tcPr>
          <w:p>
            <w:pPr>
              <w:snapToGrid w:val="0"/>
              <w:spacing w:line="240" w:lineRule="atLeast"/>
              <w:jc w:val="center"/>
              <w:rPr>
                <w:rFonts w:hint="eastAsia" w:ascii="新宋体" w:hAnsi="新宋体" w:eastAsia="新宋体" w:cs="新宋体"/>
                <w:bCs/>
                <w:sz w:val="24"/>
              </w:rPr>
            </w:pPr>
            <w:r>
              <w:rPr>
                <w:rFonts w:hint="eastAsia" w:ascii="新宋体" w:hAnsi="新宋体" w:eastAsia="新宋体" w:cs="新宋体"/>
                <w:bCs/>
                <w:sz w:val="24"/>
              </w:rPr>
              <w:t>5</w:t>
            </w:r>
          </w:p>
        </w:tc>
        <w:tc>
          <w:tcPr>
            <w:tcW w:w="2424" w:type="dxa"/>
            <w:noWrap w:val="0"/>
            <w:vAlign w:val="center"/>
          </w:tcPr>
          <w:p>
            <w:pPr>
              <w:snapToGrid w:val="0"/>
              <w:spacing w:line="240" w:lineRule="atLeast"/>
              <w:jc w:val="center"/>
              <w:rPr>
                <w:rFonts w:hint="eastAsia" w:ascii="新宋体" w:hAnsi="新宋体" w:eastAsia="新宋体" w:cs="新宋体"/>
                <w:sz w:val="24"/>
              </w:rPr>
            </w:pPr>
            <w:r>
              <w:rPr>
                <w:rFonts w:hint="eastAsia" w:ascii="新宋体" w:hAnsi="新宋体" w:eastAsia="新宋体" w:cs="新宋体"/>
                <w:sz w:val="24"/>
              </w:rPr>
              <w:t>资金来源</w:t>
            </w:r>
          </w:p>
        </w:tc>
        <w:tc>
          <w:tcPr>
            <w:tcW w:w="6178" w:type="dxa"/>
            <w:noWrap w:val="0"/>
            <w:vAlign w:val="center"/>
          </w:tcPr>
          <w:p>
            <w:pPr>
              <w:pStyle w:val="32"/>
              <w:widowControl w:val="0"/>
              <w:snapToGrid w:val="0"/>
              <w:spacing w:before="0" w:beforeAutospacing="0" w:after="0" w:afterAutospacing="0" w:line="240" w:lineRule="atLeast"/>
              <w:jc w:val="both"/>
              <w:rPr>
                <w:rFonts w:hint="eastAsia" w:ascii="新宋体" w:hAnsi="新宋体" w:eastAsia="新宋体" w:cs="新宋体"/>
                <w:b w:val="0"/>
                <w:bCs w:val="0"/>
                <w:sz w:val="24"/>
                <w:szCs w:val="24"/>
              </w:rPr>
            </w:pPr>
            <w:r>
              <w:rPr>
                <w:rFonts w:hint="eastAsia" w:ascii="新宋体" w:hAnsi="新宋体" w:eastAsia="新宋体" w:cs="新宋体"/>
                <w:b w:val="0"/>
                <w:bCs w:val="0"/>
                <w:sz w:val="24"/>
                <w:szCs w:val="24"/>
              </w:rPr>
              <w:t>□</w:t>
            </w:r>
            <w:r>
              <w:rPr>
                <w:rFonts w:hint="eastAsia" w:ascii="新宋体" w:hAnsi="新宋体" w:eastAsia="新宋体" w:cs="新宋体"/>
                <w:b w:val="0"/>
                <w:bCs w:val="0"/>
                <w:sz w:val="24"/>
                <w:szCs w:val="24"/>
                <w:lang w:val="zh-CN"/>
              </w:rPr>
              <w:t xml:space="preserve">财政投资  </w:t>
            </w:r>
            <w:r>
              <w:rPr>
                <w:rFonts w:hint="eastAsia" w:ascii="新宋体" w:hAnsi="新宋体" w:eastAsia="新宋体" w:cs="新宋体"/>
                <w:b w:val="0"/>
                <w:bCs w:val="0"/>
                <w:sz w:val="24"/>
                <w:szCs w:val="24"/>
              </w:rPr>
              <w:t>□招标人</w:t>
            </w:r>
            <w:r>
              <w:rPr>
                <w:rFonts w:hint="eastAsia" w:ascii="新宋体" w:hAnsi="新宋体" w:eastAsia="新宋体" w:cs="新宋体"/>
                <w:b w:val="0"/>
                <w:bCs w:val="0"/>
                <w:sz w:val="24"/>
                <w:szCs w:val="24"/>
                <w:lang w:val="zh-CN"/>
              </w:rPr>
              <w:t xml:space="preserve">自筹  </w:t>
            </w:r>
            <w:r>
              <w:rPr>
                <w:rFonts w:hint="eastAsia" w:ascii="新宋体" w:hAnsi="新宋体" w:eastAsia="新宋体" w:cs="新宋体"/>
                <w:b w:val="0"/>
                <w:bCs w:val="0"/>
                <w:sz w:val="24"/>
                <w:szCs w:val="24"/>
              </w:rPr>
              <w:sym w:font="Wingdings" w:char="F0FE"/>
            </w:r>
            <w:r>
              <w:rPr>
                <w:rFonts w:hint="eastAsia" w:ascii="新宋体" w:hAnsi="新宋体" w:eastAsia="新宋体" w:cs="新宋体"/>
                <w:b w:val="0"/>
                <w:bCs w:val="0"/>
                <w:sz w:val="24"/>
                <w:szCs w:val="24"/>
                <w:lang w:val="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77" w:type="dxa"/>
            <w:noWrap w:val="0"/>
            <w:vAlign w:val="center"/>
          </w:tcPr>
          <w:p>
            <w:pPr>
              <w:snapToGrid w:val="0"/>
              <w:spacing w:line="240" w:lineRule="atLeast"/>
              <w:jc w:val="center"/>
              <w:rPr>
                <w:rFonts w:hint="eastAsia" w:ascii="新宋体" w:hAnsi="新宋体" w:eastAsia="新宋体" w:cs="新宋体"/>
                <w:bCs/>
                <w:sz w:val="24"/>
              </w:rPr>
            </w:pPr>
            <w:r>
              <w:rPr>
                <w:rFonts w:hint="eastAsia" w:ascii="新宋体" w:hAnsi="新宋体" w:eastAsia="新宋体" w:cs="新宋体"/>
                <w:bCs/>
                <w:sz w:val="24"/>
              </w:rPr>
              <w:t>6</w:t>
            </w:r>
          </w:p>
        </w:tc>
        <w:tc>
          <w:tcPr>
            <w:tcW w:w="2424" w:type="dxa"/>
            <w:noWrap w:val="0"/>
            <w:vAlign w:val="center"/>
          </w:tcPr>
          <w:p>
            <w:pPr>
              <w:snapToGrid w:val="0"/>
              <w:spacing w:line="240" w:lineRule="atLeast"/>
              <w:jc w:val="center"/>
              <w:rPr>
                <w:rFonts w:hint="eastAsia" w:ascii="新宋体" w:hAnsi="新宋体" w:eastAsia="新宋体" w:cs="新宋体"/>
                <w:sz w:val="24"/>
              </w:rPr>
            </w:pPr>
            <w:r>
              <w:rPr>
                <w:rFonts w:hint="eastAsia" w:ascii="新宋体" w:hAnsi="新宋体" w:eastAsia="新宋体" w:cs="新宋体"/>
                <w:sz w:val="24"/>
              </w:rPr>
              <w:t>资格审查方式</w:t>
            </w:r>
          </w:p>
        </w:tc>
        <w:tc>
          <w:tcPr>
            <w:tcW w:w="6178" w:type="dxa"/>
            <w:noWrap w:val="0"/>
            <w:vAlign w:val="center"/>
          </w:tcPr>
          <w:p>
            <w:pPr>
              <w:pStyle w:val="32"/>
              <w:widowControl w:val="0"/>
              <w:snapToGrid w:val="0"/>
              <w:spacing w:before="0" w:beforeAutospacing="0" w:after="0" w:afterAutospacing="0" w:line="240" w:lineRule="atLeast"/>
              <w:jc w:val="both"/>
              <w:rPr>
                <w:rFonts w:hint="eastAsia" w:ascii="新宋体" w:hAnsi="新宋体" w:eastAsia="新宋体" w:cs="新宋体"/>
                <w:b w:val="0"/>
                <w:bCs w:val="0"/>
                <w:sz w:val="24"/>
                <w:szCs w:val="24"/>
              </w:rPr>
            </w:pPr>
            <w:r>
              <w:rPr>
                <w:rFonts w:hint="eastAsia" w:ascii="新宋体" w:hAnsi="新宋体" w:eastAsia="新宋体" w:cs="新宋体"/>
                <w:b w:val="0"/>
                <w:bCs w:val="0"/>
                <w:sz w:val="24"/>
                <w:szCs w:val="24"/>
              </w:rPr>
              <w:t>资格后审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877" w:type="dxa"/>
            <w:noWrap w:val="0"/>
            <w:vAlign w:val="center"/>
          </w:tcPr>
          <w:p>
            <w:pPr>
              <w:snapToGrid w:val="0"/>
              <w:spacing w:line="240" w:lineRule="atLeast"/>
              <w:jc w:val="center"/>
              <w:rPr>
                <w:rFonts w:hint="eastAsia" w:ascii="新宋体" w:hAnsi="新宋体" w:eastAsia="新宋体" w:cs="新宋体"/>
                <w:bCs/>
                <w:sz w:val="24"/>
              </w:rPr>
            </w:pPr>
            <w:r>
              <w:rPr>
                <w:rFonts w:hint="eastAsia" w:ascii="新宋体" w:hAnsi="新宋体" w:eastAsia="新宋体" w:cs="新宋体"/>
                <w:bCs/>
                <w:sz w:val="24"/>
              </w:rPr>
              <w:t>9</w:t>
            </w:r>
          </w:p>
        </w:tc>
        <w:tc>
          <w:tcPr>
            <w:tcW w:w="2424" w:type="dxa"/>
            <w:noWrap w:val="0"/>
            <w:vAlign w:val="center"/>
          </w:tcPr>
          <w:p>
            <w:pPr>
              <w:snapToGrid w:val="0"/>
              <w:spacing w:line="240" w:lineRule="atLeast"/>
              <w:jc w:val="center"/>
              <w:rPr>
                <w:rFonts w:hint="eastAsia" w:ascii="新宋体" w:hAnsi="新宋体" w:eastAsia="新宋体" w:cs="新宋体"/>
                <w:sz w:val="24"/>
              </w:rPr>
            </w:pPr>
            <w:r>
              <w:rPr>
                <w:rFonts w:hint="eastAsia" w:ascii="新宋体" w:hAnsi="新宋体" w:eastAsia="新宋体" w:cs="新宋体"/>
                <w:sz w:val="24"/>
              </w:rPr>
              <w:t>投标人资质</w:t>
            </w:r>
          </w:p>
        </w:tc>
        <w:tc>
          <w:tcPr>
            <w:tcW w:w="6178" w:type="dxa"/>
            <w:noWrap w:val="0"/>
            <w:vAlign w:val="center"/>
          </w:tcPr>
          <w:p>
            <w:pPr>
              <w:snapToGrid w:val="0"/>
              <w:spacing w:line="240" w:lineRule="atLeast"/>
              <w:ind w:firstLine="480" w:firstLineChars="200"/>
              <w:rPr>
                <w:rFonts w:hint="eastAsia" w:ascii="新宋体" w:hAnsi="新宋体" w:eastAsia="新宋体" w:cs="新宋体"/>
                <w:b/>
                <w:sz w:val="24"/>
                <w:szCs w:val="24"/>
              </w:rPr>
            </w:pPr>
            <w:r>
              <w:rPr>
                <w:rFonts w:hint="eastAsia" w:ascii="新宋体" w:hAnsi="新宋体" w:eastAsia="新宋体" w:cs="新宋体"/>
                <w:color w:val="000000"/>
                <w:sz w:val="24"/>
                <w:szCs w:val="24"/>
              </w:rPr>
              <w:t>国内具有独立法人资格，经营范围包括物业管理（服务）；在阜阳上一年信用等级被评定为C级及以上（企业或在阜分支机构设立未满一年按C级标准，若满一年仍未参加信用体系评定的视为0分）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877" w:type="dxa"/>
            <w:noWrap w:val="0"/>
            <w:vAlign w:val="center"/>
          </w:tcPr>
          <w:p>
            <w:pPr>
              <w:snapToGrid w:val="0"/>
              <w:spacing w:line="240" w:lineRule="atLeast"/>
              <w:jc w:val="center"/>
              <w:rPr>
                <w:rFonts w:hint="eastAsia" w:ascii="新宋体" w:hAnsi="新宋体" w:eastAsia="新宋体" w:cs="新宋体"/>
                <w:bCs/>
                <w:sz w:val="24"/>
              </w:rPr>
            </w:pPr>
            <w:r>
              <w:rPr>
                <w:rFonts w:hint="eastAsia" w:ascii="新宋体" w:hAnsi="新宋体" w:eastAsia="新宋体" w:cs="新宋体"/>
                <w:bCs/>
                <w:sz w:val="24"/>
              </w:rPr>
              <w:t>10</w:t>
            </w:r>
          </w:p>
        </w:tc>
        <w:tc>
          <w:tcPr>
            <w:tcW w:w="2424" w:type="dxa"/>
            <w:noWrap w:val="0"/>
            <w:vAlign w:val="center"/>
          </w:tcPr>
          <w:p>
            <w:pPr>
              <w:snapToGrid w:val="0"/>
              <w:spacing w:line="240" w:lineRule="atLeast"/>
              <w:jc w:val="center"/>
              <w:rPr>
                <w:rFonts w:hint="eastAsia" w:ascii="新宋体" w:hAnsi="新宋体" w:eastAsia="新宋体" w:cs="新宋体"/>
                <w:sz w:val="24"/>
              </w:rPr>
            </w:pPr>
            <w:r>
              <w:rPr>
                <w:rFonts w:hint="eastAsia" w:ascii="新宋体" w:hAnsi="新宋体" w:eastAsia="新宋体" w:cs="新宋体"/>
                <w:sz w:val="24"/>
              </w:rPr>
              <w:t>备案要求</w:t>
            </w:r>
          </w:p>
        </w:tc>
        <w:tc>
          <w:tcPr>
            <w:tcW w:w="6178" w:type="dxa"/>
            <w:noWrap w:val="0"/>
            <w:vAlign w:val="center"/>
          </w:tcPr>
          <w:p>
            <w:pPr>
              <w:snapToGrid w:val="0"/>
              <w:spacing w:line="240" w:lineRule="atLeast"/>
              <w:ind w:firstLine="480" w:firstLineChars="200"/>
              <w:rPr>
                <w:rFonts w:hint="eastAsia" w:ascii="新宋体" w:hAnsi="新宋体" w:eastAsia="新宋体" w:cs="新宋体"/>
                <w:b/>
                <w:sz w:val="24"/>
                <w:szCs w:val="24"/>
              </w:rPr>
            </w:pPr>
            <w:r>
              <w:rPr>
                <w:rFonts w:hint="eastAsia" w:ascii="新宋体" w:hAnsi="新宋体" w:eastAsia="新宋体" w:cs="新宋体"/>
                <w:sz w:val="24"/>
                <w:szCs w:val="24"/>
              </w:rPr>
              <w:t>阜外单位先办理入境备案，</w:t>
            </w:r>
            <w:r>
              <w:rPr>
                <w:rFonts w:hint="eastAsia" w:ascii="新宋体" w:hAnsi="新宋体" w:eastAsia="新宋体" w:cs="新宋体"/>
                <w:color w:val="000000"/>
                <w:sz w:val="24"/>
                <w:szCs w:val="24"/>
              </w:rPr>
              <w:t>一年信用等级被评定为C级及以上（企业或在阜分支机构设立未满一年按C级标准，若满一年仍未参加信用体系评定的视为0分）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77" w:type="dxa"/>
            <w:noWrap w:val="0"/>
            <w:vAlign w:val="center"/>
          </w:tcPr>
          <w:p>
            <w:pPr>
              <w:snapToGrid w:val="0"/>
              <w:spacing w:line="240" w:lineRule="atLeast"/>
              <w:jc w:val="center"/>
              <w:rPr>
                <w:rFonts w:hint="eastAsia" w:ascii="新宋体" w:hAnsi="新宋体" w:eastAsia="新宋体" w:cs="新宋体"/>
                <w:sz w:val="24"/>
              </w:rPr>
            </w:pPr>
            <w:r>
              <w:rPr>
                <w:rFonts w:hint="eastAsia" w:ascii="新宋体" w:hAnsi="新宋体" w:eastAsia="新宋体" w:cs="新宋体"/>
                <w:sz w:val="24"/>
              </w:rPr>
              <w:t>11</w:t>
            </w:r>
          </w:p>
        </w:tc>
        <w:tc>
          <w:tcPr>
            <w:tcW w:w="2424" w:type="dxa"/>
            <w:noWrap w:val="0"/>
            <w:vAlign w:val="top"/>
          </w:tcPr>
          <w:p>
            <w:pPr>
              <w:snapToGrid w:val="0"/>
              <w:spacing w:line="240" w:lineRule="atLeast"/>
              <w:jc w:val="center"/>
              <w:rPr>
                <w:rFonts w:hint="eastAsia" w:ascii="新宋体" w:hAnsi="新宋体" w:eastAsia="新宋体" w:cs="新宋体"/>
                <w:sz w:val="24"/>
                <w:lang w:val="zh-CN"/>
              </w:rPr>
            </w:pPr>
            <w:r>
              <w:rPr>
                <w:rFonts w:hint="eastAsia" w:ascii="新宋体" w:hAnsi="新宋体" w:eastAsia="新宋体" w:cs="新宋体"/>
                <w:sz w:val="24"/>
              </w:rPr>
              <w:t>包别划分</w:t>
            </w:r>
          </w:p>
        </w:tc>
        <w:tc>
          <w:tcPr>
            <w:tcW w:w="6178" w:type="dxa"/>
            <w:noWrap w:val="0"/>
            <w:vAlign w:val="center"/>
          </w:tcPr>
          <w:p>
            <w:pPr>
              <w:snapToGrid w:val="0"/>
              <w:spacing w:line="240" w:lineRule="atLeast"/>
              <w:ind w:left="841" w:hanging="841"/>
              <w:rPr>
                <w:rFonts w:hint="eastAsia" w:ascii="新宋体" w:hAnsi="新宋体" w:eastAsia="新宋体" w:cs="新宋体"/>
                <w:bCs/>
                <w:sz w:val="24"/>
                <w:szCs w:val="24"/>
              </w:rPr>
            </w:pPr>
            <w:r>
              <w:rPr>
                <w:rFonts w:hint="eastAsia" w:ascii="新宋体" w:hAnsi="新宋体" w:eastAsia="新宋体" w:cs="新宋体"/>
                <w:b/>
                <w:bCs/>
                <w:sz w:val="24"/>
                <w:szCs w:val="24"/>
              </w:rPr>
              <w:sym w:font="Wingdings" w:char="F0FE"/>
            </w:r>
            <w:r>
              <w:rPr>
                <w:rFonts w:hint="eastAsia" w:ascii="新宋体" w:hAnsi="新宋体" w:eastAsia="新宋体" w:cs="新宋体"/>
                <w:sz w:val="24"/>
                <w:szCs w:val="24"/>
              </w:rPr>
              <w:t>不分包     □分为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8" w:hRule="atLeast"/>
          <w:jc w:val="center"/>
        </w:trPr>
        <w:tc>
          <w:tcPr>
            <w:tcW w:w="877" w:type="dxa"/>
            <w:noWrap w:val="0"/>
            <w:vAlign w:val="center"/>
          </w:tcPr>
          <w:p>
            <w:pPr>
              <w:snapToGrid w:val="0"/>
              <w:spacing w:line="240" w:lineRule="atLeast"/>
              <w:ind w:right="102"/>
              <w:jc w:val="center"/>
              <w:rPr>
                <w:rFonts w:hint="eastAsia" w:ascii="新宋体" w:hAnsi="新宋体" w:eastAsia="新宋体" w:cs="新宋体"/>
                <w:sz w:val="24"/>
                <w:lang w:val="zh-CN"/>
              </w:rPr>
            </w:pPr>
            <w:r>
              <w:rPr>
                <w:rFonts w:hint="eastAsia" w:ascii="新宋体" w:hAnsi="新宋体" w:eastAsia="新宋体" w:cs="新宋体"/>
                <w:sz w:val="24"/>
                <w:lang w:val="zh-CN"/>
              </w:rPr>
              <w:t>12</w:t>
            </w:r>
          </w:p>
        </w:tc>
        <w:tc>
          <w:tcPr>
            <w:tcW w:w="2424" w:type="dxa"/>
            <w:noWrap w:val="0"/>
            <w:vAlign w:val="center"/>
          </w:tcPr>
          <w:p>
            <w:pPr>
              <w:snapToGrid w:val="0"/>
              <w:spacing w:line="240" w:lineRule="atLeast"/>
              <w:jc w:val="center"/>
              <w:rPr>
                <w:rFonts w:hint="eastAsia" w:ascii="新宋体" w:hAnsi="新宋体" w:eastAsia="新宋体" w:cs="新宋体"/>
                <w:bCs/>
                <w:sz w:val="24"/>
              </w:rPr>
            </w:pPr>
            <w:r>
              <w:rPr>
                <w:rFonts w:hint="eastAsia" w:ascii="新宋体" w:hAnsi="新宋体" w:eastAsia="新宋体" w:cs="新宋体"/>
                <w:bCs/>
                <w:sz w:val="24"/>
              </w:rPr>
              <w:t>付款方式</w:t>
            </w:r>
          </w:p>
        </w:tc>
        <w:tc>
          <w:tcPr>
            <w:tcW w:w="6178" w:type="dxa"/>
            <w:noWrap w:val="0"/>
            <w:vAlign w:val="top"/>
          </w:tcPr>
          <w:p>
            <w:pPr>
              <w:pStyle w:val="31"/>
              <w:snapToGrid w:val="0"/>
              <w:spacing w:line="240" w:lineRule="atLeast"/>
              <w:ind w:firstLine="480" w:firstLineChars="200"/>
              <w:rPr>
                <w:rFonts w:hint="eastAsia" w:ascii="新宋体" w:hAnsi="新宋体" w:eastAsia="新宋体" w:cs="新宋体"/>
                <w:sz w:val="24"/>
                <w:szCs w:val="24"/>
                <w:lang w:val="zh-CN"/>
              </w:rPr>
            </w:pPr>
            <w:r>
              <w:rPr>
                <w:rFonts w:hint="eastAsia" w:ascii="新宋体" w:hAnsi="新宋体" w:eastAsia="新宋体" w:cs="新宋体"/>
                <w:bCs/>
                <w:sz w:val="24"/>
                <w:szCs w:val="24"/>
              </w:rPr>
              <w:t>付款方式：</w:t>
            </w:r>
            <w:r>
              <w:rPr>
                <w:rFonts w:hint="eastAsia" w:ascii="新宋体" w:hAnsi="新宋体" w:eastAsia="新宋体" w:cs="新宋体"/>
                <w:sz w:val="24"/>
                <w:szCs w:val="24"/>
                <w:lang w:val="zh-CN"/>
              </w:rPr>
              <w:t>本合同以人民币付款，乙方应按双方签订的合同规定提供服务，物业管理费由中标人向购房业主依据前期物业服务合同约定方式收取。</w:t>
            </w:r>
          </w:p>
          <w:p>
            <w:pPr>
              <w:pStyle w:val="31"/>
              <w:snapToGrid w:val="0"/>
              <w:spacing w:line="240" w:lineRule="atLeast"/>
              <w:rPr>
                <w:rFonts w:hint="eastAsia" w:ascii="新宋体" w:hAnsi="新宋体" w:eastAsia="新宋体" w:cs="新宋体"/>
                <w:bCs/>
                <w:sz w:val="24"/>
                <w:szCs w:val="24"/>
              </w:rPr>
            </w:pPr>
            <w:r>
              <w:rPr>
                <w:rFonts w:hint="eastAsia" w:ascii="新宋体" w:hAnsi="新宋体" w:eastAsia="新宋体" w:cs="新宋体"/>
                <w:bCs/>
                <w:sz w:val="24"/>
                <w:szCs w:val="24"/>
              </w:rPr>
              <w:t>投标人提交的投标文件中如有关于付款条件的表述与招标文件规定不符，投标无效。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77" w:type="dxa"/>
            <w:noWrap w:val="0"/>
            <w:vAlign w:val="center"/>
          </w:tcPr>
          <w:p>
            <w:pPr>
              <w:snapToGrid w:val="0"/>
              <w:spacing w:line="240" w:lineRule="atLeast"/>
              <w:ind w:right="102"/>
              <w:jc w:val="center"/>
              <w:rPr>
                <w:rFonts w:hint="eastAsia" w:ascii="新宋体" w:hAnsi="新宋体" w:eastAsia="新宋体" w:cs="新宋体"/>
                <w:sz w:val="24"/>
                <w:lang w:val="zh-CN"/>
              </w:rPr>
            </w:pPr>
            <w:r>
              <w:rPr>
                <w:rFonts w:hint="eastAsia" w:ascii="新宋体" w:hAnsi="新宋体" w:eastAsia="新宋体" w:cs="新宋体"/>
                <w:sz w:val="24"/>
                <w:lang w:val="zh-CN"/>
              </w:rPr>
              <w:t>13</w:t>
            </w:r>
          </w:p>
        </w:tc>
        <w:tc>
          <w:tcPr>
            <w:tcW w:w="2424" w:type="dxa"/>
            <w:noWrap w:val="0"/>
            <w:vAlign w:val="center"/>
          </w:tcPr>
          <w:p>
            <w:pPr>
              <w:snapToGrid w:val="0"/>
              <w:spacing w:line="240" w:lineRule="atLeast"/>
              <w:jc w:val="center"/>
              <w:rPr>
                <w:rFonts w:hint="eastAsia" w:ascii="新宋体" w:hAnsi="新宋体" w:eastAsia="新宋体" w:cs="新宋体"/>
                <w:sz w:val="24"/>
              </w:rPr>
            </w:pPr>
            <w:r>
              <w:rPr>
                <w:rFonts w:hint="eastAsia" w:ascii="新宋体" w:hAnsi="新宋体" w:eastAsia="新宋体" w:cs="新宋体"/>
                <w:sz w:val="24"/>
              </w:rPr>
              <w:t>联合体投标</w:t>
            </w:r>
          </w:p>
        </w:tc>
        <w:tc>
          <w:tcPr>
            <w:tcW w:w="6178" w:type="dxa"/>
            <w:noWrap w:val="0"/>
            <w:vAlign w:val="center"/>
          </w:tcPr>
          <w:p>
            <w:pPr>
              <w:snapToGrid w:val="0"/>
              <w:spacing w:line="240" w:lineRule="atLeast"/>
              <w:rPr>
                <w:rFonts w:hint="eastAsia" w:ascii="新宋体" w:hAnsi="新宋体" w:eastAsia="新宋体" w:cs="新宋体"/>
                <w:sz w:val="24"/>
                <w:szCs w:val="24"/>
              </w:rPr>
            </w:pPr>
            <w:r>
              <w:rPr>
                <w:rFonts w:hint="eastAsia" w:ascii="新宋体" w:hAnsi="新宋体" w:eastAsia="新宋体" w:cs="新宋体"/>
                <w:sz w:val="24"/>
                <w:szCs w:val="24"/>
              </w:rPr>
              <w:t>□</w:t>
            </w:r>
            <w:r>
              <w:rPr>
                <w:rFonts w:hint="eastAsia" w:ascii="新宋体" w:hAnsi="新宋体" w:eastAsia="新宋体" w:cs="新宋体"/>
                <w:sz w:val="24"/>
                <w:szCs w:val="24"/>
                <w:lang w:val="zh-CN"/>
              </w:rPr>
              <w:t xml:space="preserve">允许  </w:t>
            </w:r>
            <w:r>
              <w:rPr>
                <w:rFonts w:hint="eastAsia" w:ascii="新宋体" w:hAnsi="新宋体" w:eastAsia="新宋体" w:cs="新宋体"/>
                <w:b/>
                <w:bCs/>
                <w:sz w:val="24"/>
                <w:szCs w:val="24"/>
              </w:rPr>
              <w:sym w:font="Wingdings" w:char="F0FE"/>
            </w:r>
            <w:r>
              <w:rPr>
                <w:rFonts w:hint="eastAsia" w:ascii="新宋体" w:hAnsi="新宋体" w:eastAsia="新宋体" w:cs="新宋体"/>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77" w:type="dxa"/>
            <w:noWrap w:val="0"/>
            <w:vAlign w:val="center"/>
          </w:tcPr>
          <w:p>
            <w:pPr>
              <w:snapToGrid w:val="0"/>
              <w:spacing w:line="240" w:lineRule="atLeast"/>
              <w:jc w:val="center"/>
              <w:rPr>
                <w:rFonts w:hint="eastAsia" w:ascii="新宋体" w:hAnsi="新宋体" w:eastAsia="新宋体" w:cs="新宋体"/>
                <w:sz w:val="24"/>
              </w:rPr>
            </w:pPr>
            <w:r>
              <w:rPr>
                <w:rFonts w:hint="eastAsia" w:ascii="新宋体" w:hAnsi="新宋体" w:eastAsia="新宋体" w:cs="新宋体"/>
                <w:sz w:val="24"/>
              </w:rPr>
              <w:t>14</w:t>
            </w:r>
          </w:p>
        </w:tc>
        <w:tc>
          <w:tcPr>
            <w:tcW w:w="2424" w:type="dxa"/>
            <w:noWrap w:val="0"/>
            <w:vAlign w:val="center"/>
          </w:tcPr>
          <w:p>
            <w:pPr>
              <w:snapToGrid w:val="0"/>
              <w:spacing w:line="240" w:lineRule="atLeast"/>
              <w:jc w:val="center"/>
              <w:rPr>
                <w:rFonts w:hint="eastAsia" w:ascii="新宋体" w:hAnsi="新宋体" w:eastAsia="新宋体" w:cs="新宋体"/>
                <w:sz w:val="24"/>
                <w:lang w:val="zh-CN"/>
              </w:rPr>
            </w:pPr>
            <w:r>
              <w:rPr>
                <w:rFonts w:hint="eastAsia" w:ascii="新宋体" w:hAnsi="新宋体" w:eastAsia="新宋体" w:cs="新宋体"/>
                <w:sz w:val="24"/>
              </w:rPr>
              <w:t>投标有效期</w:t>
            </w:r>
          </w:p>
        </w:tc>
        <w:tc>
          <w:tcPr>
            <w:tcW w:w="6178" w:type="dxa"/>
            <w:noWrap w:val="0"/>
            <w:vAlign w:val="center"/>
          </w:tcPr>
          <w:p>
            <w:pPr>
              <w:snapToGrid w:val="0"/>
              <w:spacing w:line="240" w:lineRule="atLeast"/>
              <w:rPr>
                <w:rFonts w:hint="eastAsia" w:ascii="新宋体" w:hAnsi="新宋体" w:eastAsia="新宋体" w:cs="新宋体"/>
                <w:sz w:val="24"/>
                <w:szCs w:val="24"/>
              </w:rPr>
            </w:pPr>
            <w:r>
              <w:rPr>
                <w:rFonts w:hint="eastAsia" w:ascii="新宋体" w:hAnsi="新宋体" w:eastAsia="新宋体" w:cs="新宋体"/>
                <w:bCs/>
                <w:sz w:val="24"/>
                <w:szCs w:val="24"/>
              </w:rPr>
              <w:t>开标后</w:t>
            </w:r>
            <w:r>
              <w:rPr>
                <w:rFonts w:hint="eastAsia" w:ascii="新宋体" w:hAnsi="新宋体" w:eastAsia="新宋体" w:cs="新宋体"/>
                <w:bCs/>
                <w:sz w:val="24"/>
                <w:szCs w:val="24"/>
                <w:u w:val="single"/>
              </w:rPr>
              <w:t xml:space="preserve"> 60 </w:t>
            </w:r>
            <w:r>
              <w:rPr>
                <w:rFonts w:hint="eastAsia" w:ascii="新宋体" w:hAnsi="新宋体" w:eastAsia="新宋体" w:cs="新宋体"/>
                <w:bCs/>
                <w:sz w:val="24"/>
                <w:szCs w:val="24"/>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77" w:type="dxa"/>
            <w:noWrap w:val="0"/>
            <w:vAlign w:val="center"/>
          </w:tcPr>
          <w:p>
            <w:pPr>
              <w:snapToGrid w:val="0"/>
              <w:spacing w:line="240" w:lineRule="atLeast"/>
              <w:jc w:val="center"/>
              <w:rPr>
                <w:rFonts w:hint="eastAsia" w:ascii="新宋体" w:hAnsi="新宋体" w:eastAsia="新宋体" w:cs="新宋体"/>
                <w:sz w:val="24"/>
              </w:rPr>
            </w:pPr>
            <w:r>
              <w:rPr>
                <w:rFonts w:hint="eastAsia" w:ascii="新宋体" w:hAnsi="新宋体" w:eastAsia="新宋体" w:cs="新宋体"/>
                <w:sz w:val="24"/>
              </w:rPr>
              <w:t>15</w:t>
            </w:r>
          </w:p>
        </w:tc>
        <w:tc>
          <w:tcPr>
            <w:tcW w:w="2424" w:type="dxa"/>
            <w:noWrap w:val="0"/>
            <w:vAlign w:val="top"/>
          </w:tcPr>
          <w:p>
            <w:pPr>
              <w:snapToGrid w:val="0"/>
              <w:spacing w:line="240" w:lineRule="atLeast"/>
              <w:jc w:val="center"/>
              <w:rPr>
                <w:rFonts w:hint="eastAsia" w:ascii="新宋体" w:hAnsi="新宋体" w:eastAsia="新宋体" w:cs="新宋体"/>
                <w:sz w:val="24"/>
              </w:rPr>
            </w:pPr>
            <w:r>
              <w:rPr>
                <w:rFonts w:hint="eastAsia" w:ascii="新宋体" w:hAnsi="新宋体" w:eastAsia="新宋体" w:cs="新宋体"/>
                <w:sz w:val="24"/>
              </w:rPr>
              <w:t>招标范围</w:t>
            </w:r>
          </w:p>
        </w:tc>
        <w:tc>
          <w:tcPr>
            <w:tcW w:w="6178" w:type="dxa"/>
            <w:noWrap w:val="0"/>
            <w:vAlign w:val="top"/>
          </w:tcPr>
          <w:p>
            <w:pPr>
              <w:pStyle w:val="31"/>
              <w:snapToGrid w:val="0"/>
              <w:spacing w:line="240" w:lineRule="atLeast"/>
              <w:rPr>
                <w:rFonts w:hint="eastAsia" w:ascii="新宋体" w:hAnsi="新宋体" w:eastAsia="新宋体" w:cs="新宋体"/>
                <w:sz w:val="24"/>
                <w:szCs w:val="24"/>
              </w:rPr>
            </w:pPr>
            <w:r>
              <w:rPr>
                <w:rFonts w:hint="eastAsia" w:ascii="新宋体" w:hAnsi="新宋体" w:eastAsia="新宋体" w:cs="新宋体"/>
                <w:sz w:val="24"/>
                <w:szCs w:val="24"/>
              </w:rPr>
              <w:t>详见第二章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877" w:type="dxa"/>
            <w:noWrap w:val="0"/>
            <w:vAlign w:val="center"/>
          </w:tcPr>
          <w:p>
            <w:pPr>
              <w:snapToGrid w:val="0"/>
              <w:spacing w:line="240" w:lineRule="atLeast"/>
              <w:jc w:val="center"/>
              <w:rPr>
                <w:rFonts w:hint="eastAsia" w:ascii="新宋体" w:hAnsi="新宋体" w:eastAsia="新宋体" w:cs="新宋体"/>
                <w:sz w:val="24"/>
              </w:rPr>
            </w:pPr>
            <w:r>
              <w:rPr>
                <w:rFonts w:hint="eastAsia" w:ascii="新宋体" w:hAnsi="新宋体" w:eastAsia="新宋体" w:cs="新宋体"/>
                <w:sz w:val="24"/>
              </w:rPr>
              <w:t>16</w:t>
            </w:r>
          </w:p>
        </w:tc>
        <w:tc>
          <w:tcPr>
            <w:tcW w:w="2424" w:type="dxa"/>
            <w:noWrap w:val="0"/>
            <w:vAlign w:val="center"/>
          </w:tcPr>
          <w:p>
            <w:pPr>
              <w:snapToGrid w:val="0"/>
              <w:spacing w:line="240" w:lineRule="atLeast"/>
              <w:jc w:val="center"/>
              <w:rPr>
                <w:rFonts w:hint="eastAsia" w:ascii="新宋体" w:hAnsi="新宋体" w:eastAsia="新宋体" w:cs="新宋体"/>
                <w:sz w:val="24"/>
              </w:rPr>
            </w:pPr>
            <w:r>
              <w:rPr>
                <w:rFonts w:hint="eastAsia" w:ascii="新宋体" w:hAnsi="新宋体" w:eastAsia="新宋体" w:cs="新宋体"/>
                <w:sz w:val="24"/>
              </w:rPr>
              <w:t>服务期限</w:t>
            </w:r>
          </w:p>
        </w:tc>
        <w:tc>
          <w:tcPr>
            <w:tcW w:w="6178" w:type="dxa"/>
            <w:noWrap w:val="0"/>
            <w:vAlign w:val="center"/>
          </w:tcPr>
          <w:p>
            <w:pPr>
              <w:pStyle w:val="31"/>
              <w:snapToGrid w:val="0"/>
              <w:spacing w:line="240" w:lineRule="atLeast"/>
              <w:ind w:firstLine="480" w:firstLineChars="200"/>
              <w:rPr>
                <w:rFonts w:hint="eastAsia" w:ascii="新宋体" w:hAnsi="新宋体" w:eastAsia="新宋体" w:cs="新宋体"/>
                <w:b/>
                <w:bCs/>
                <w:sz w:val="24"/>
                <w:szCs w:val="24"/>
              </w:rPr>
            </w:pPr>
            <w:r>
              <w:rPr>
                <w:rFonts w:hint="eastAsia" w:ascii="新宋体" w:hAnsi="新宋体" w:eastAsia="新宋体" w:cs="新宋体"/>
                <w:sz w:val="24"/>
                <w:szCs w:val="24"/>
              </w:rPr>
              <w:t>合同期限至</w:t>
            </w:r>
            <w:r>
              <w:rPr>
                <w:rFonts w:hint="eastAsia" w:ascii="新宋体" w:hAnsi="新宋体" w:eastAsia="新宋体" w:cs="新宋体"/>
                <w:bCs/>
                <w:sz w:val="24"/>
                <w:szCs w:val="24"/>
                <w:u w:val="single"/>
              </w:rPr>
              <w:t>小区业主委员会成立，</w:t>
            </w:r>
            <w:r>
              <w:rPr>
                <w:rFonts w:hint="eastAsia" w:ascii="新宋体" w:hAnsi="新宋体" w:eastAsia="新宋体" w:cs="新宋体"/>
                <w:bCs/>
                <w:sz w:val="24"/>
                <w:szCs w:val="24"/>
                <w:u w:val="single"/>
                <w:lang w:eastAsia="zh-CN"/>
              </w:rPr>
              <w:t>业主委员会或者业主</w:t>
            </w:r>
            <w:r>
              <w:rPr>
                <w:rFonts w:hint="eastAsia" w:ascii="新宋体" w:hAnsi="新宋体" w:eastAsia="新宋体" w:cs="新宋体"/>
                <w:bCs/>
                <w:sz w:val="24"/>
                <w:szCs w:val="24"/>
                <w:u w:val="single"/>
              </w:rPr>
              <w:t>与新选聘的物业公司签订合同时止。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77" w:type="dxa"/>
            <w:noWrap w:val="0"/>
            <w:vAlign w:val="center"/>
          </w:tcPr>
          <w:p>
            <w:pPr>
              <w:snapToGrid w:val="0"/>
              <w:spacing w:line="240" w:lineRule="atLeast"/>
              <w:jc w:val="center"/>
              <w:rPr>
                <w:rFonts w:hint="eastAsia" w:ascii="新宋体" w:hAnsi="新宋体" w:eastAsia="新宋体" w:cs="新宋体"/>
                <w:sz w:val="24"/>
              </w:rPr>
            </w:pPr>
            <w:r>
              <w:rPr>
                <w:rFonts w:hint="eastAsia" w:ascii="新宋体" w:hAnsi="新宋体" w:eastAsia="新宋体" w:cs="新宋体"/>
                <w:sz w:val="24"/>
              </w:rPr>
              <w:t>17</w:t>
            </w:r>
          </w:p>
        </w:tc>
        <w:tc>
          <w:tcPr>
            <w:tcW w:w="2424" w:type="dxa"/>
            <w:noWrap w:val="0"/>
            <w:vAlign w:val="center"/>
          </w:tcPr>
          <w:p>
            <w:pPr>
              <w:pStyle w:val="30"/>
              <w:pBdr>
                <w:bottom w:val="none" w:color="auto" w:sz="0" w:space="0"/>
              </w:pBdr>
              <w:tabs>
                <w:tab w:val="clear" w:pos="4153"/>
                <w:tab w:val="clear" w:pos="8306"/>
              </w:tabs>
              <w:adjustRightInd/>
              <w:snapToGrid w:val="0"/>
              <w:textAlignment w:val="auto"/>
              <w:rPr>
                <w:rFonts w:hint="eastAsia" w:ascii="新宋体" w:hAnsi="新宋体" w:eastAsia="新宋体" w:cs="新宋体"/>
                <w:kern w:val="2"/>
                <w:lang w:val="zh-CN"/>
              </w:rPr>
            </w:pPr>
            <w:r>
              <w:rPr>
                <w:rFonts w:hint="eastAsia" w:ascii="新宋体" w:hAnsi="新宋体" w:eastAsia="新宋体" w:cs="新宋体"/>
                <w:kern w:val="2"/>
              </w:rPr>
              <w:t>投标保证金金额</w:t>
            </w:r>
          </w:p>
        </w:tc>
        <w:tc>
          <w:tcPr>
            <w:tcW w:w="6178" w:type="dxa"/>
            <w:noWrap w:val="0"/>
            <w:vAlign w:val="center"/>
          </w:tcPr>
          <w:p>
            <w:pPr>
              <w:snapToGrid w:val="0"/>
              <w:spacing w:line="240" w:lineRule="atLeast"/>
              <w:rPr>
                <w:rFonts w:hint="eastAsia" w:ascii="新宋体" w:hAnsi="新宋体" w:eastAsia="新宋体" w:cs="新宋体"/>
                <w:sz w:val="24"/>
                <w:szCs w:val="24"/>
              </w:rPr>
            </w:pPr>
            <w:r>
              <w:rPr>
                <w:rFonts w:hint="eastAsia" w:ascii="新宋体" w:hAnsi="新宋体" w:eastAsia="新宋体" w:cs="新宋体"/>
                <w:color w:val="auto"/>
                <w:sz w:val="24"/>
                <w:szCs w:val="24"/>
                <w:highlight w:val="none"/>
              </w:rPr>
              <w:t>人民币</w:t>
            </w:r>
            <w:r>
              <w:rPr>
                <w:rFonts w:hint="eastAsia" w:ascii="新宋体" w:hAnsi="新宋体" w:eastAsia="新宋体" w:cs="新宋体"/>
                <w:color w:val="auto"/>
                <w:sz w:val="24"/>
                <w:szCs w:val="24"/>
                <w:highlight w:val="none"/>
                <w:lang w:eastAsia="zh-CN"/>
              </w:rPr>
              <w:t>伍</w:t>
            </w:r>
            <w:r>
              <w:rPr>
                <w:rFonts w:hint="eastAsia" w:ascii="新宋体" w:hAnsi="新宋体" w:eastAsia="新宋体" w:cs="新宋体"/>
                <w:color w:val="auto"/>
                <w:sz w:val="24"/>
                <w:szCs w:val="24"/>
                <w:highlight w:val="none"/>
              </w:rPr>
              <w:t>万元</w:t>
            </w:r>
            <w:r>
              <w:rPr>
                <w:rFonts w:hint="eastAsia" w:ascii="新宋体" w:hAnsi="新宋体" w:eastAsia="新宋体" w:cs="新宋体"/>
                <w:color w:val="auto"/>
                <w:sz w:val="24"/>
                <w:szCs w:val="24"/>
                <w:highlight w:val="none"/>
                <w:lang w:val="en-US" w:eastAsia="zh-CN"/>
              </w:rPr>
              <w:t>,</w:t>
            </w:r>
            <w:r>
              <w:rPr>
                <w:rFonts w:hint="eastAsia" w:ascii="新宋体" w:hAnsi="新宋体" w:eastAsia="新宋体" w:cs="新宋体"/>
                <w:sz w:val="24"/>
                <w:szCs w:val="24"/>
              </w:rPr>
              <w:t>投标截止时间止</w:t>
            </w:r>
            <w:r>
              <w:rPr>
                <w:rFonts w:hint="eastAsia" w:ascii="新宋体" w:hAnsi="新宋体" w:eastAsia="新宋体" w:cs="新宋体"/>
                <w:color w:val="auto"/>
                <w:sz w:val="24"/>
                <w:szCs w:val="24"/>
                <w:highlight w:val="none"/>
              </w:rPr>
              <w:t>前交付代理机构。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77" w:type="dxa"/>
            <w:noWrap w:val="0"/>
            <w:vAlign w:val="center"/>
          </w:tcPr>
          <w:p>
            <w:pPr>
              <w:snapToGrid w:val="0"/>
              <w:spacing w:line="240" w:lineRule="atLeast"/>
              <w:jc w:val="center"/>
              <w:rPr>
                <w:rFonts w:hint="eastAsia" w:ascii="新宋体" w:hAnsi="新宋体" w:eastAsia="新宋体" w:cs="新宋体"/>
                <w:sz w:val="24"/>
              </w:rPr>
            </w:pPr>
            <w:r>
              <w:rPr>
                <w:rFonts w:hint="eastAsia" w:ascii="新宋体" w:hAnsi="新宋体" w:eastAsia="新宋体" w:cs="新宋体"/>
                <w:sz w:val="24"/>
              </w:rPr>
              <w:t>18</w:t>
            </w:r>
          </w:p>
        </w:tc>
        <w:tc>
          <w:tcPr>
            <w:tcW w:w="2424" w:type="dxa"/>
            <w:noWrap w:val="0"/>
            <w:vAlign w:val="center"/>
          </w:tcPr>
          <w:p>
            <w:pPr>
              <w:snapToGrid w:val="0"/>
              <w:spacing w:line="240" w:lineRule="atLeast"/>
              <w:jc w:val="center"/>
              <w:rPr>
                <w:rFonts w:hint="eastAsia" w:ascii="新宋体" w:hAnsi="新宋体" w:eastAsia="新宋体" w:cs="新宋体"/>
                <w:bCs/>
                <w:sz w:val="24"/>
              </w:rPr>
            </w:pPr>
            <w:r>
              <w:rPr>
                <w:rFonts w:hint="eastAsia" w:ascii="新宋体" w:hAnsi="新宋体" w:eastAsia="新宋体" w:cs="新宋体"/>
                <w:bCs/>
                <w:sz w:val="24"/>
              </w:rPr>
              <w:t>勘察现场</w:t>
            </w:r>
          </w:p>
        </w:tc>
        <w:tc>
          <w:tcPr>
            <w:tcW w:w="6178" w:type="dxa"/>
            <w:noWrap w:val="0"/>
            <w:vAlign w:val="center"/>
          </w:tcPr>
          <w:p>
            <w:pPr>
              <w:snapToGrid w:val="0"/>
              <w:spacing w:line="240" w:lineRule="atLeast"/>
              <w:rPr>
                <w:rFonts w:hint="eastAsia" w:ascii="新宋体" w:hAnsi="新宋体" w:eastAsia="新宋体" w:cs="新宋体"/>
                <w:bCs/>
                <w:sz w:val="24"/>
                <w:szCs w:val="24"/>
              </w:rPr>
            </w:pPr>
            <w:r>
              <w:rPr>
                <w:rFonts w:hint="eastAsia" w:ascii="新宋体" w:hAnsi="新宋体" w:eastAsia="新宋体" w:cs="新宋体"/>
                <w:b/>
                <w:bCs/>
                <w:sz w:val="24"/>
                <w:szCs w:val="24"/>
              </w:rPr>
              <w:sym w:font="Wingdings" w:char="F0FE"/>
            </w:r>
            <w:r>
              <w:rPr>
                <w:rFonts w:hint="eastAsia" w:ascii="新宋体" w:hAnsi="新宋体" w:eastAsia="新宋体" w:cs="新宋体"/>
                <w:bCs/>
                <w:sz w:val="24"/>
                <w:szCs w:val="24"/>
              </w:rPr>
              <w:t xml:space="preserve">自行勘察   </w:t>
            </w:r>
            <w:r>
              <w:rPr>
                <w:rFonts w:hint="eastAsia" w:ascii="新宋体" w:hAnsi="新宋体" w:eastAsia="新宋体" w:cs="新宋体"/>
                <w:sz w:val="24"/>
                <w:szCs w:val="24"/>
              </w:rPr>
              <w:t>□</w:t>
            </w:r>
            <w:r>
              <w:rPr>
                <w:rFonts w:hint="eastAsia" w:ascii="新宋体" w:hAnsi="新宋体" w:eastAsia="新宋体" w:cs="新宋体"/>
                <w:bCs/>
                <w:sz w:val="24"/>
                <w:szCs w:val="24"/>
              </w:rPr>
              <w:t>统一组织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77" w:type="dxa"/>
            <w:noWrap w:val="0"/>
            <w:vAlign w:val="center"/>
          </w:tcPr>
          <w:p>
            <w:pPr>
              <w:snapToGrid w:val="0"/>
              <w:spacing w:line="240" w:lineRule="atLeast"/>
              <w:jc w:val="center"/>
              <w:rPr>
                <w:rFonts w:hint="eastAsia" w:ascii="新宋体" w:hAnsi="新宋体" w:eastAsia="新宋体" w:cs="新宋体"/>
                <w:sz w:val="24"/>
              </w:rPr>
            </w:pPr>
            <w:r>
              <w:rPr>
                <w:rFonts w:hint="eastAsia" w:ascii="新宋体" w:hAnsi="新宋体" w:eastAsia="新宋体" w:cs="新宋体"/>
                <w:sz w:val="24"/>
              </w:rPr>
              <w:t>19</w:t>
            </w:r>
          </w:p>
        </w:tc>
        <w:tc>
          <w:tcPr>
            <w:tcW w:w="2424" w:type="dxa"/>
            <w:noWrap w:val="0"/>
            <w:vAlign w:val="center"/>
          </w:tcPr>
          <w:p>
            <w:pPr>
              <w:snapToGrid w:val="0"/>
              <w:spacing w:line="240" w:lineRule="atLeast"/>
              <w:jc w:val="center"/>
              <w:rPr>
                <w:rFonts w:hint="eastAsia" w:ascii="新宋体" w:hAnsi="新宋体" w:eastAsia="新宋体" w:cs="新宋体"/>
                <w:sz w:val="24"/>
              </w:rPr>
            </w:pPr>
            <w:r>
              <w:rPr>
                <w:rFonts w:hint="eastAsia" w:ascii="新宋体" w:hAnsi="新宋体" w:eastAsia="新宋体" w:cs="新宋体"/>
                <w:sz w:val="24"/>
              </w:rPr>
              <w:t>标书份数及要求</w:t>
            </w:r>
          </w:p>
        </w:tc>
        <w:tc>
          <w:tcPr>
            <w:tcW w:w="6178" w:type="dxa"/>
            <w:noWrap w:val="0"/>
            <w:vAlign w:val="center"/>
          </w:tcPr>
          <w:p>
            <w:pPr>
              <w:snapToGrid w:val="0"/>
              <w:spacing w:line="240" w:lineRule="atLeast"/>
              <w:rPr>
                <w:rFonts w:hint="eastAsia" w:ascii="新宋体" w:hAnsi="新宋体" w:eastAsia="新宋体" w:cs="新宋体"/>
                <w:dstrike/>
                <w:sz w:val="24"/>
                <w:szCs w:val="24"/>
              </w:rPr>
            </w:pPr>
            <w:r>
              <w:rPr>
                <w:rFonts w:hint="eastAsia" w:ascii="新宋体" w:hAnsi="新宋体" w:eastAsia="新宋体" w:cs="新宋体"/>
                <w:sz w:val="24"/>
                <w:szCs w:val="24"/>
              </w:rPr>
              <w:t>投标文件：正本</w:t>
            </w:r>
            <w:r>
              <w:rPr>
                <w:rFonts w:hint="eastAsia" w:ascii="新宋体" w:hAnsi="新宋体" w:eastAsia="新宋体" w:cs="新宋体"/>
                <w:sz w:val="24"/>
                <w:szCs w:val="24"/>
                <w:u w:val="single"/>
              </w:rPr>
              <w:t xml:space="preserve"> 1 </w:t>
            </w:r>
            <w:r>
              <w:rPr>
                <w:rFonts w:hint="eastAsia" w:ascii="新宋体" w:hAnsi="新宋体" w:eastAsia="新宋体" w:cs="新宋体"/>
                <w:sz w:val="24"/>
                <w:szCs w:val="24"/>
              </w:rPr>
              <w:t>份；副本</w:t>
            </w:r>
            <w:r>
              <w:rPr>
                <w:rFonts w:hint="eastAsia" w:ascii="新宋体" w:hAnsi="新宋体" w:eastAsia="新宋体" w:cs="新宋体"/>
                <w:sz w:val="24"/>
                <w:szCs w:val="24"/>
                <w:u w:val="single"/>
              </w:rPr>
              <w:t xml:space="preserve"> 4 </w:t>
            </w:r>
            <w:r>
              <w:rPr>
                <w:rFonts w:hint="eastAsia" w:ascii="新宋体" w:hAnsi="新宋体" w:eastAsia="新宋体" w:cs="新宋体"/>
                <w:sz w:val="24"/>
                <w:szCs w:val="24"/>
              </w:rPr>
              <w:t>份，密封提交</w:t>
            </w:r>
            <w:r>
              <w:rPr>
                <w:rFonts w:hint="eastAsia" w:ascii="新宋体" w:hAnsi="新宋体" w:eastAsia="新宋体" w:cs="新宋体"/>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877" w:type="dxa"/>
            <w:noWrap w:val="0"/>
            <w:vAlign w:val="center"/>
          </w:tcPr>
          <w:p>
            <w:pPr>
              <w:snapToGrid w:val="0"/>
              <w:spacing w:line="240" w:lineRule="atLeast"/>
              <w:jc w:val="center"/>
              <w:rPr>
                <w:rFonts w:hint="eastAsia" w:ascii="新宋体" w:hAnsi="新宋体" w:eastAsia="新宋体" w:cs="新宋体"/>
                <w:sz w:val="24"/>
              </w:rPr>
            </w:pPr>
            <w:r>
              <w:rPr>
                <w:rFonts w:hint="eastAsia" w:ascii="新宋体" w:hAnsi="新宋体" w:eastAsia="新宋体" w:cs="新宋体"/>
                <w:sz w:val="24"/>
              </w:rPr>
              <w:t>20</w:t>
            </w:r>
          </w:p>
        </w:tc>
        <w:tc>
          <w:tcPr>
            <w:tcW w:w="2424" w:type="dxa"/>
            <w:noWrap w:val="0"/>
            <w:vAlign w:val="center"/>
          </w:tcPr>
          <w:p>
            <w:pPr>
              <w:snapToGrid w:val="0"/>
              <w:spacing w:line="240" w:lineRule="atLeast"/>
              <w:ind w:left="841" w:hanging="841"/>
              <w:jc w:val="center"/>
              <w:rPr>
                <w:rFonts w:hint="eastAsia" w:ascii="新宋体" w:hAnsi="新宋体" w:eastAsia="新宋体" w:cs="新宋体"/>
                <w:sz w:val="24"/>
              </w:rPr>
            </w:pPr>
            <w:r>
              <w:rPr>
                <w:rFonts w:hint="eastAsia" w:ascii="新宋体" w:hAnsi="新宋体" w:eastAsia="新宋体" w:cs="新宋体"/>
                <w:sz w:val="24"/>
              </w:rPr>
              <w:t>投标时间及地点</w:t>
            </w:r>
          </w:p>
        </w:tc>
        <w:tc>
          <w:tcPr>
            <w:tcW w:w="6178" w:type="dxa"/>
            <w:noWrap w:val="0"/>
            <w:vAlign w:val="center"/>
          </w:tcPr>
          <w:p>
            <w:pPr>
              <w:snapToGrid w:val="0"/>
              <w:spacing w:line="240" w:lineRule="atLeast"/>
              <w:rPr>
                <w:rFonts w:hint="eastAsia" w:ascii="新宋体" w:hAnsi="新宋体" w:eastAsia="新宋体" w:cs="新宋体"/>
                <w:sz w:val="24"/>
                <w:szCs w:val="24"/>
                <w:lang w:val="zh-CN"/>
              </w:rPr>
            </w:pPr>
            <w:r>
              <w:rPr>
                <w:rFonts w:hint="eastAsia" w:ascii="新宋体" w:hAnsi="新宋体" w:eastAsia="新宋体" w:cs="新宋体"/>
                <w:sz w:val="24"/>
                <w:szCs w:val="24"/>
              </w:rPr>
              <w:t>投标截止时间：</w:t>
            </w:r>
            <w:r>
              <w:rPr>
                <w:rFonts w:hint="eastAsia" w:ascii="新宋体" w:hAnsi="新宋体" w:eastAsia="新宋体" w:cs="新宋体"/>
                <w:sz w:val="24"/>
                <w:szCs w:val="24"/>
                <w:lang w:val="zh-CN"/>
              </w:rPr>
              <w:t>同开标时间</w:t>
            </w:r>
          </w:p>
          <w:p>
            <w:pPr>
              <w:snapToGrid w:val="0"/>
              <w:spacing w:line="240" w:lineRule="atLeast"/>
              <w:rPr>
                <w:rFonts w:hint="eastAsia" w:ascii="新宋体" w:hAnsi="新宋体" w:eastAsia="新宋体" w:cs="新宋体"/>
                <w:sz w:val="24"/>
                <w:szCs w:val="24"/>
                <w:lang w:val="zh-CN"/>
              </w:rPr>
            </w:pPr>
            <w:r>
              <w:rPr>
                <w:rFonts w:hint="eastAsia" w:ascii="新宋体" w:hAnsi="新宋体" w:eastAsia="新宋体" w:cs="新宋体"/>
                <w:sz w:val="24"/>
                <w:szCs w:val="24"/>
              </w:rPr>
              <w:t>标书递交地点：</w:t>
            </w:r>
            <w:r>
              <w:rPr>
                <w:rFonts w:hint="eastAsia" w:ascii="新宋体" w:hAnsi="新宋体" w:eastAsia="新宋体" w:cs="新宋体"/>
                <w:sz w:val="24"/>
                <w:szCs w:val="24"/>
                <w:lang w:val="zh-CN"/>
              </w:rPr>
              <w:t>同开标地点</w:t>
            </w:r>
          </w:p>
          <w:p>
            <w:pPr>
              <w:snapToGrid w:val="0"/>
              <w:spacing w:line="240" w:lineRule="atLeast"/>
              <w:rPr>
                <w:rFonts w:hint="eastAsia" w:ascii="新宋体" w:hAnsi="新宋体" w:eastAsia="新宋体" w:cs="新宋体"/>
                <w:bCs/>
                <w:sz w:val="24"/>
                <w:szCs w:val="24"/>
              </w:rPr>
            </w:pPr>
            <w:r>
              <w:rPr>
                <w:rFonts w:hint="eastAsia" w:ascii="新宋体" w:hAnsi="新宋体" w:eastAsia="新宋体" w:cs="新宋体"/>
                <w:sz w:val="24"/>
                <w:szCs w:val="24"/>
              </w:rPr>
              <w:t>投标文件接收时间：投标截止时间止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877" w:type="dxa"/>
            <w:noWrap w:val="0"/>
            <w:vAlign w:val="center"/>
          </w:tcPr>
          <w:p>
            <w:pPr>
              <w:snapToGrid w:val="0"/>
              <w:spacing w:line="240" w:lineRule="atLeast"/>
              <w:jc w:val="center"/>
              <w:rPr>
                <w:rFonts w:hint="eastAsia" w:ascii="新宋体" w:hAnsi="新宋体" w:eastAsia="新宋体" w:cs="新宋体"/>
                <w:sz w:val="24"/>
              </w:rPr>
            </w:pPr>
            <w:r>
              <w:rPr>
                <w:rFonts w:hint="eastAsia" w:ascii="新宋体" w:hAnsi="新宋体" w:eastAsia="新宋体" w:cs="新宋体"/>
                <w:sz w:val="24"/>
              </w:rPr>
              <w:t>21</w:t>
            </w:r>
          </w:p>
        </w:tc>
        <w:tc>
          <w:tcPr>
            <w:tcW w:w="2424" w:type="dxa"/>
            <w:noWrap w:val="0"/>
            <w:vAlign w:val="center"/>
          </w:tcPr>
          <w:p>
            <w:pPr>
              <w:snapToGrid w:val="0"/>
              <w:spacing w:line="240" w:lineRule="atLeast"/>
              <w:jc w:val="center"/>
              <w:rPr>
                <w:rFonts w:hint="eastAsia" w:ascii="新宋体" w:hAnsi="新宋体" w:eastAsia="新宋体" w:cs="新宋体"/>
                <w:bCs/>
                <w:sz w:val="24"/>
              </w:rPr>
            </w:pPr>
            <w:r>
              <w:rPr>
                <w:rFonts w:hint="eastAsia" w:ascii="新宋体" w:hAnsi="新宋体" w:eastAsia="新宋体" w:cs="新宋体"/>
                <w:sz w:val="24"/>
              </w:rPr>
              <w:t>开标时间及地点</w:t>
            </w:r>
          </w:p>
        </w:tc>
        <w:tc>
          <w:tcPr>
            <w:tcW w:w="6178" w:type="dxa"/>
            <w:noWrap w:val="0"/>
            <w:vAlign w:val="center"/>
          </w:tcPr>
          <w:p>
            <w:pPr>
              <w:snapToGrid w:val="0"/>
              <w:spacing w:line="240" w:lineRule="atLeast"/>
              <w:rPr>
                <w:rFonts w:hint="eastAsia" w:ascii="新宋体" w:hAnsi="新宋体" w:eastAsia="新宋体" w:cs="新宋体"/>
                <w:bCs/>
                <w:sz w:val="24"/>
                <w:szCs w:val="24"/>
                <w:u w:val="single"/>
              </w:rPr>
            </w:pPr>
            <w:r>
              <w:rPr>
                <w:rFonts w:hint="eastAsia" w:ascii="新宋体" w:hAnsi="新宋体" w:eastAsia="新宋体" w:cs="新宋体"/>
                <w:sz w:val="24"/>
                <w:szCs w:val="24"/>
              </w:rPr>
              <w:t>开标时间：北京时间</w:t>
            </w:r>
            <w:r>
              <w:rPr>
                <w:rFonts w:hint="eastAsia" w:ascii="新宋体" w:hAnsi="新宋体" w:eastAsia="新宋体" w:cs="新宋体"/>
                <w:sz w:val="24"/>
                <w:szCs w:val="24"/>
                <w:u w:val="single"/>
              </w:rPr>
              <w:t>202</w:t>
            </w:r>
            <w:r>
              <w:rPr>
                <w:rFonts w:hint="eastAsia" w:ascii="新宋体" w:hAnsi="新宋体" w:eastAsia="新宋体" w:cs="新宋体"/>
                <w:sz w:val="24"/>
                <w:szCs w:val="24"/>
                <w:u w:val="single"/>
                <w:lang w:val="en-US" w:eastAsia="zh-CN"/>
              </w:rPr>
              <w:t>1</w:t>
            </w:r>
            <w:r>
              <w:rPr>
                <w:rFonts w:hint="eastAsia" w:ascii="新宋体" w:hAnsi="新宋体" w:eastAsia="新宋体" w:cs="新宋体"/>
                <w:bCs/>
                <w:sz w:val="24"/>
                <w:szCs w:val="24"/>
              </w:rPr>
              <w:t>年</w:t>
            </w:r>
            <w:r>
              <w:rPr>
                <w:rFonts w:hint="eastAsia" w:ascii="新宋体" w:hAnsi="新宋体" w:eastAsia="新宋体" w:cs="新宋体"/>
                <w:bCs/>
                <w:sz w:val="24"/>
                <w:szCs w:val="24"/>
                <w:u w:val="single"/>
              </w:rPr>
              <w:t xml:space="preserve"> </w:t>
            </w:r>
            <w:r>
              <w:rPr>
                <w:rFonts w:hint="eastAsia" w:ascii="新宋体" w:hAnsi="新宋体" w:eastAsia="新宋体" w:cs="新宋体"/>
                <w:bCs/>
                <w:sz w:val="24"/>
                <w:szCs w:val="24"/>
                <w:u w:val="single"/>
                <w:lang w:val="en-US" w:eastAsia="zh-CN"/>
              </w:rPr>
              <w:t>05</w:t>
            </w:r>
            <w:r>
              <w:rPr>
                <w:rFonts w:hint="eastAsia" w:ascii="新宋体" w:hAnsi="新宋体" w:eastAsia="新宋体" w:cs="新宋体"/>
                <w:bCs/>
                <w:sz w:val="24"/>
                <w:szCs w:val="24"/>
                <w:u w:val="single"/>
              </w:rPr>
              <w:t xml:space="preserve"> </w:t>
            </w:r>
            <w:r>
              <w:rPr>
                <w:rFonts w:hint="eastAsia" w:ascii="新宋体" w:hAnsi="新宋体" w:eastAsia="新宋体" w:cs="新宋体"/>
                <w:bCs/>
                <w:sz w:val="24"/>
                <w:szCs w:val="24"/>
              </w:rPr>
              <w:t>月</w:t>
            </w:r>
            <w:r>
              <w:rPr>
                <w:rFonts w:hint="eastAsia" w:ascii="新宋体" w:hAnsi="新宋体" w:eastAsia="新宋体" w:cs="新宋体"/>
                <w:b/>
                <w:bCs/>
                <w:sz w:val="24"/>
                <w:szCs w:val="24"/>
                <w:u w:val="single"/>
              </w:rPr>
              <w:t xml:space="preserve"> </w:t>
            </w:r>
            <w:r>
              <w:rPr>
                <w:rFonts w:hint="eastAsia" w:ascii="新宋体" w:hAnsi="新宋体" w:eastAsia="新宋体" w:cs="新宋体"/>
                <w:b w:val="0"/>
                <w:bCs w:val="0"/>
                <w:sz w:val="24"/>
                <w:szCs w:val="24"/>
                <w:u w:val="single"/>
                <w:lang w:val="en-US" w:eastAsia="zh-CN"/>
              </w:rPr>
              <w:t>21</w:t>
            </w:r>
            <w:r>
              <w:rPr>
                <w:rFonts w:hint="eastAsia" w:ascii="新宋体" w:hAnsi="新宋体" w:eastAsia="新宋体" w:cs="新宋体"/>
                <w:b/>
                <w:bCs/>
                <w:sz w:val="24"/>
                <w:szCs w:val="24"/>
                <w:u w:val="single"/>
              </w:rPr>
              <w:t xml:space="preserve"> </w:t>
            </w:r>
            <w:r>
              <w:rPr>
                <w:rFonts w:hint="eastAsia" w:ascii="新宋体" w:hAnsi="新宋体" w:eastAsia="新宋体" w:cs="新宋体"/>
                <w:bCs/>
                <w:sz w:val="24"/>
                <w:szCs w:val="24"/>
              </w:rPr>
              <w:t>日</w:t>
            </w:r>
            <w:r>
              <w:rPr>
                <w:rFonts w:hint="eastAsia" w:ascii="新宋体" w:hAnsi="新宋体" w:eastAsia="新宋体" w:cs="新宋体"/>
                <w:bCs/>
                <w:sz w:val="24"/>
                <w:szCs w:val="24"/>
                <w:u w:val="single"/>
              </w:rPr>
              <w:t xml:space="preserve"> </w:t>
            </w:r>
            <w:r>
              <w:rPr>
                <w:rFonts w:hint="eastAsia" w:ascii="新宋体" w:hAnsi="新宋体" w:eastAsia="新宋体" w:cs="新宋体"/>
                <w:bCs/>
                <w:sz w:val="24"/>
                <w:szCs w:val="24"/>
                <w:u w:val="single"/>
                <w:lang w:val="en-US" w:eastAsia="zh-CN"/>
              </w:rPr>
              <w:t>15</w:t>
            </w:r>
            <w:r>
              <w:rPr>
                <w:rFonts w:hint="eastAsia" w:ascii="新宋体" w:hAnsi="新宋体" w:eastAsia="新宋体" w:cs="新宋体"/>
                <w:bCs/>
                <w:sz w:val="24"/>
                <w:szCs w:val="24"/>
                <w:u w:val="single"/>
              </w:rPr>
              <w:t xml:space="preserve"> </w:t>
            </w:r>
            <w:r>
              <w:rPr>
                <w:rFonts w:hint="eastAsia" w:ascii="新宋体" w:hAnsi="新宋体" w:eastAsia="新宋体" w:cs="新宋体"/>
                <w:bCs/>
                <w:sz w:val="24"/>
                <w:szCs w:val="24"/>
              </w:rPr>
              <w:t>:</w:t>
            </w:r>
            <w:r>
              <w:rPr>
                <w:rFonts w:hint="eastAsia" w:ascii="新宋体" w:hAnsi="新宋体" w:eastAsia="新宋体" w:cs="新宋体"/>
                <w:bCs/>
                <w:sz w:val="24"/>
                <w:szCs w:val="24"/>
                <w:u w:val="single"/>
                <w:lang w:val="en-US" w:eastAsia="zh-CN"/>
              </w:rPr>
              <w:t>00</w:t>
            </w:r>
            <w:r>
              <w:rPr>
                <w:rFonts w:hint="eastAsia" w:ascii="新宋体" w:hAnsi="新宋体" w:eastAsia="新宋体" w:cs="新宋体"/>
                <w:bCs/>
                <w:sz w:val="24"/>
                <w:szCs w:val="24"/>
                <w:u w:val="single"/>
              </w:rPr>
              <w:t xml:space="preserve">   </w:t>
            </w:r>
          </w:p>
          <w:p>
            <w:pPr>
              <w:snapToGrid w:val="0"/>
              <w:spacing w:line="240" w:lineRule="atLeast"/>
              <w:rPr>
                <w:rFonts w:hint="eastAsia" w:ascii="新宋体" w:hAnsi="新宋体" w:eastAsia="新宋体" w:cs="新宋体"/>
                <w:sz w:val="24"/>
                <w:szCs w:val="24"/>
              </w:rPr>
            </w:pPr>
            <w:r>
              <w:rPr>
                <w:rFonts w:hint="eastAsia" w:ascii="新宋体" w:hAnsi="新宋体" w:eastAsia="新宋体" w:cs="新宋体"/>
                <w:sz w:val="24"/>
                <w:szCs w:val="24"/>
              </w:rPr>
              <w:t>开标地点：</w:t>
            </w:r>
            <w:r>
              <w:rPr>
                <w:rFonts w:hint="eastAsia" w:ascii="新宋体" w:hAnsi="新宋体" w:eastAsia="新宋体" w:cs="新宋体"/>
                <w:sz w:val="24"/>
                <w:szCs w:val="24"/>
                <w:lang w:val="en-US" w:eastAsia="zh-CN"/>
              </w:rPr>
              <w:t>安徽省阜阳市颍州区颍淮达到与一道河路交叉口天马朝阳大厦2316室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77" w:type="dxa"/>
            <w:noWrap w:val="0"/>
            <w:vAlign w:val="center"/>
          </w:tcPr>
          <w:p>
            <w:pPr>
              <w:snapToGrid w:val="0"/>
              <w:spacing w:line="240" w:lineRule="atLeast"/>
              <w:jc w:val="center"/>
              <w:rPr>
                <w:rFonts w:hint="eastAsia" w:ascii="新宋体" w:hAnsi="新宋体" w:eastAsia="新宋体" w:cs="新宋体"/>
                <w:sz w:val="24"/>
              </w:rPr>
            </w:pPr>
            <w:r>
              <w:rPr>
                <w:rFonts w:hint="eastAsia" w:ascii="新宋体" w:hAnsi="新宋体" w:eastAsia="新宋体" w:cs="新宋体"/>
                <w:sz w:val="24"/>
              </w:rPr>
              <w:t>22</w:t>
            </w:r>
          </w:p>
        </w:tc>
        <w:tc>
          <w:tcPr>
            <w:tcW w:w="2424" w:type="dxa"/>
            <w:noWrap w:val="0"/>
            <w:vAlign w:val="center"/>
          </w:tcPr>
          <w:p>
            <w:pPr>
              <w:snapToGrid w:val="0"/>
              <w:spacing w:line="240" w:lineRule="atLeast"/>
              <w:jc w:val="center"/>
              <w:rPr>
                <w:rFonts w:hint="eastAsia" w:ascii="新宋体" w:hAnsi="新宋体" w:eastAsia="新宋体" w:cs="新宋体"/>
                <w:sz w:val="24"/>
              </w:rPr>
            </w:pPr>
            <w:r>
              <w:rPr>
                <w:rFonts w:hint="eastAsia" w:ascii="新宋体" w:hAnsi="新宋体" w:eastAsia="新宋体" w:cs="新宋体"/>
                <w:sz w:val="24"/>
              </w:rPr>
              <w:t>评标办法</w:t>
            </w:r>
          </w:p>
        </w:tc>
        <w:tc>
          <w:tcPr>
            <w:tcW w:w="6178" w:type="dxa"/>
            <w:noWrap w:val="0"/>
            <w:vAlign w:val="center"/>
          </w:tcPr>
          <w:p>
            <w:pPr>
              <w:snapToGrid w:val="0"/>
              <w:spacing w:line="240" w:lineRule="atLeast"/>
              <w:rPr>
                <w:rFonts w:hint="eastAsia" w:ascii="新宋体" w:hAnsi="新宋体" w:eastAsia="新宋体" w:cs="新宋体"/>
                <w:sz w:val="24"/>
                <w:szCs w:val="24"/>
              </w:rPr>
            </w:pPr>
            <w:r>
              <w:rPr>
                <w:rFonts w:hint="eastAsia" w:ascii="新宋体" w:hAnsi="新宋体" w:eastAsia="新宋体" w:cs="新宋体"/>
                <w:sz w:val="24"/>
                <w:szCs w:val="24"/>
              </w:rPr>
              <w:t>综合评分法，</w:t>
            </w:r>
            <w:r>
              <w:rPr>
                <w:rFonts w:hint="eastAsia" w:ascii="新宋体" w:hAnsi="新宋体" w:eastAsia="新宋体" w:cs="新宋体"/>
                <w:bCs/>
                <w:sz w:val="24"/>
                <w:szCs w:val="24"/>
              </w:rPr>
              <w:t>详见</w:t>
            </w:r>
            <w:r>
              <w:rPr>
                <w:rFonts w:hint="eastAsia" w:ascii="新宋体" w:hAnsi="新宋体" w:eastAsia="新宋体" w:cs="新宋体"/>
                <w:sz w:val="24"/>
                <w:szCs w:val="24"/>
              </w:rPr>
              <w:t>招标文件第四章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877" w:type="dxa"/>
            <w:noWrap w:val="0"/>
            <w:vAlign w:val="center"/>
          </w:tcPr>
          <w:p>
            <w:pPr>
              <w:snapToGrid w:val="0"/>
              <w:spacing w:line="240" w:lineRule="atLeast"/>
              <w:jc w:val="center"/>
              <w:rPr>
                <w:rFonts w:hint="eastAsia" w:ascii="新宋体" w:hAnsi="新宋体" w:eastAsia="新宋体" w:cs="新宋体"/>
                <w:sz w:val="24"/>
              </w:rPr>
            </w:pPr>
            <w:r>
              <w:rPr>
                <w:rFonts w:hint="eastAsia" w:ascii="新宋体" w:hAnsi="新宋体" w:eastAsia="新宋体" w:cs="新宋体"/>
                <w:sz w:val="24"/>
              </w:rPr>
              <w:t>23</w:t>
            </w:r>
          </w:p>
        </w:tc>
        <w:tc>
          <w:tcPr>
            <w:tcW w:w="2424" w:type="dxa"/>
            <w:noWrap w:val="0"/>
            <w:vAlign w:val="center"/>
          </w:tcPr>
          <w:p>
            <w:pPr>
              <w:snapToGrid w:val="0"/>
              <w:spacing w:line="240" w:lineRule="atLeast"/>
              <w:ind w:left="841" w:hanging="841"/>
              <w:jc w:val="center"/>
              <w:rPr>
                <w:rFonts w:hint="eastAsia" w:ascii="新宋体" w:hAnsi="新宋体" w:eastAsia="新宋体" w:cs="新宋体"/>
                <w:sz w:val="24"/>
              </w:rPr>
            </w:pPr>
            <w:r>
              <w:rPr>
                <w:rFonts w:hint="eastAsia" w:ascii="新宋体" w:hAnsi="新宋体" w:eastAsia="新宋体" w:cs="新宋体"/>
                <w:sz w:val="24"/>
              </w:rPr>
              <w:t>招标代理费</w:t>
            </w:r>
          </w:p>
        </w:tc>
        <w:tc>
          <w:tcPr>
            <w:tcW w:w="6178" w:type="dxa"/>
            <w:noWrap w:val="0"/>
            <w:vAlign w:val="center"/>
          </w:tcPr>
          <w:p>
            <w:pPr>
              <w:snapToGrid w:val="0"/>
              <w:spacing w:line="240" w:lineRule="atLeast"/>
              <w:ind w:left="841" w:hanging="841"/>
              <w:rPr>
                <w:rFonts w:hint="eastAsia" w:ascii="新宋体" w:hAnsi="新宋体" w:eastAsia="新宋体" w:cs="新宋体"/>
                <w:bCs/>
                <w:sz w:val="24"/>
                <w:szCs w:val="24"/>
              </w:rPr>
            </w:pPr>
            <w:r>
              <w:rPr>
                <w:rFonts w:hint="eastAsia" w:ascii="新宋体" w:hAnsi="新宋体" w:eastAsia="新宋体" w:cs="新宋体"/>
                <w:sz w:val="24"/>
                <w:szCs w:val="24"/>
              </w:rPr>
              <w:t>由中标单位承担。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77" w:type="dxa"/>
            <w:noWrap w:val="0"/>
            <w:vAlign w:val="center"/>
          </w:tcPr>
          <w:p>
            <w:pPr>
              <w:widowControl/>
              <w:spacing w:line="240" w:lineRule="atLeast"/>
              <w:jc w:val="center"/>
              <w:rPr>
                <w:rFonts w:hint="eastAsia" w:ascii="新宋体" w:hAnsi="新宋体" w:eastAsia="新宋体" w:cs="新宋体"/>
                <w:kern w:val="0"/>
                <w:sz w:val="24"/>
              </w:rPr>
            </w:pPr>
            <w:r>
              <w:rPr>
                <w:rFonts w:hint="eastAsia" w:ascii="新宋体" w:hAnsi="新宋体" w:eastAsia="新宋体" w:cs="新宋体"/>
                <w:kern w:val="0"/>
                <w:sz w:val="24"/>
              </w:rPr>
              <w:t>24</w:t>
            </w:r>
          </w:p>
        </w:tc>
        <w:tc>
          <w:tcPr>
            <w:tcW w:w="2424" w:type="dxa"/>
            <w:noWrap w:val="0"/>
            <w:vAlign w:val="center"/>
          </w:tcPr>
          <w:p>
            <w:pPr>
              <w:widowControl/>
              <w:spacing w:line="240" w:lineRule="atLeast"/>
              <w:ind w:left="841" w:hanging="841"/>
              <w:jc w:val="center"/>
              <w:rPr>
                <w:rFonts w:hint="eastAsia" w:ascii="新宋体" w:hAnsi="新宋体" w:eastAsia="新宋体" w:cs="新宋体"/>
                <w:kern w:val="0"/>
                <w:sz w:val="24"/>
              </w:rPr>
            </w:pPr>
            <w:r>
              <w:rPr>
                <w:rFonts w:hint="eastAsia" w:ascii="新宋体" w:hAnsi="新宋体" w:eastAsia="新宋体" w:cs="新宋体"/>
                <w:kern w:val="0"/>
                <w:sz w:val="24"/>
              </w:rPr>
              <w:t>招标方式</w:t>
            </w:r>
          </w:p>
        </w:tc>
        <w:tc>
          <w:tcPr>
            <w:tcW w:w="6178" w:type="dxa"/>
            <w:noWrap w:val="0"/>
            <w:vAlign w:val="center"/>
          </w:tcPr>
          <w:p>
            <w:pPr>
              <w:widowControl/>
              <w:spacing w:line="240" w:lineRule="atLeast"/>
              <w:ind w:left="841" w:hanging="841"/>
              <w:rPr>
                <w:rFonts w:hint="eastAsia" w:ascii="新宋体" w:hAnsi="新宋体" w:eastAsia="新宋体" w:cs="新宋体"/>
                <w:kern w:val="0"/>
                <w:sz w:val="24"/>
                <w:szCs w:val="24"/>
              </w:rPr>
            </w:pPr>
            <w:r>
              <w:rPr>
                <w:rFonts w:hint="eastAsia" w:ascii="新宋体" w:hAnsi="新宋体" w:eastAsia="新宋体" w:cs="新宋体"/>
                <w:kern w:val="0"/>
                <w:sz w:val="24"/>
                <w:szCs w:val="24"/>
              </w:rPr>
              <w:t>公开招标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77" w:type="dxa"/>
            <w:noWrap w:val="0"/>
            <w:vAlign w:val="center"/>
          </w:tcPr>
          <w:p>
            <w:pPr>
              <w:widowControl/>
              <w:spacing w:line="240" w:lineRule="atLeast"/>
              <w:jc w:val="center"/>
              <w:rPr>
                <w:rFonts w:hint="eastAsia" w:ascii="新宋体" w:hAnsi="新宋体" w:eastAsia="新宋体" w:cs="新宋体"/>
                <w:kern w:val="0"/>
                <w:sz w:val="24"/>
              </w:rPr>
            </w:pPr>
            <w:r>
              <w:rPr>
                <w:rFonts w:hint="eastAsia" w:ascii="新宋体" w:hAnsi="新宋体" w:eastAsia="新宋体" w:cs="新宋体"/>
                <w:kern w:val="0"/>
                <w:sz w:val="24"/>
              </w:rPr>
              <w:t>25</w:t>
            </w:r>
          </w:p>
        </w:tc>
        <w:tc>
          <w:tcPr>
            <w:tcW w:w="2424" w:type="dxa"/>
            <w:noWrap w:val="0"/>
            <w:vAlign w:val="center"/>
          </w:tcPr>
          <w:p>
            <w:pPr>
              <w:widowControl/>
              <w:spacing w:line="240" w:lineRule="atLeast"/>
              <w:ind w:left="841" w:hanging="841"/>
              <w:jc w:val="center"/>
              <w:rPr>
                <w:rFonts w:hint="eastAsia" w:ascii="新宋体" w:hAnsi="新宋体" w:eastAsia="新宋体" w:cs="新宋体"/>
                <w:kern w:val="0"/>
                <w:sz w:val="24"/>
              </w:rPr>
            </w:pPr>
            <w:r>
              <w:rPr>
                <w:rFonts w:hint="eastAsia" w:ascii="新宋体" w:hAnsi="新宋体" w:eastAsia="新宋体" w:cs="新宋体"/>
                <w:kern w:val="0"/>
                <w:sz w:val="24"/>
              </w:rPr>
              <w:t>中标公布地点</w:t>
            </w:r>
          </w:p>
        </w:tc>
        <w:tc>
          <w:tcPr>
            <w:tcW w:w="6178" w:type="dxa"/>
            <w:noWrap w:val="0"/>
            <w:vAlign w:val="center"/>
          </w:tcPr>
          <w:p>
            <w:pPr>
              <w:widowControl/>
              <w:spacing w:line="240" w:lineRule="atLeast"/>
              <w:ind w:left="841" w:hanging="841"/>
              <w:rPr>
                <w:rFonts w:hint="eastAsia" w:ascii="新宋体" w:hAnsi="新宋体" w:eastAsia="新宋体" w:cs="新宋体"/>
                <w:kern w:val="0"/>
                <w:sz w:val="24"/>
                <w:szCs w:val="24"/>
              </w:rPr>
            </w:pPr>
            <w:r>
              <w:rPr>
                <w:rFonts w:hint="eastAsia" w:ascii="新宋体" w:hAnsi="新宋体" w:eastAsia="新宋体" w:cs="新宋体"/>
                <w:kern w:val="0"/>
                <w:sz w:val="24"/>
                <w:szCs w:val="24"/>
              </w:rPr>
              <w:t>阜阳市房屋管理局网http://fgj.fy.gov.cn/</w:t>
            </w:r>
          </w:p>
        </w:tc>
      </w:tr>
    </w:tbl>
    <w:p>
      <w:pPr>
        <w:snapToGrid w:val="0"/>
        <w:jc w:val="center"/>
        <w:outlineLvl w:val="1"/>
        <w:rPr>
          <w:b/>
          <w:bCs/>
          <w:sz w:val="28"/>
          <w:szCs w:val="24"/>
          <w:lang w:bidi="he-IL"/>
        </w:rPr>
      </w:pPr>
      <w:bookmarkStart w:id="3" w:name="_Toc18988_WPSOffice_Level2"/>
      <w:bookmarkStart w:id="4" w:name="_Toc15383"/>
    </w:p>
    <w:bookmarkEnd w:id="3"/>
    <w:bookmarkEnd w:id="4"/>
    <w:p>
      <w:pPr>
        <w:jc w:val="center"/>
        <w:rPr>
          <w:rFonts w:hint="eastAsia" w:ascii="宋体" w:hAnsi="宋体" w:cs="宋体"/>
          <w:b/>
          <w:bCs/>
          <w:sz w:val="28"/>
          <w:szCs w:val="28"/>
        </w:rPr>
      </w:pPr>
      <w:r>
        <w:rPr>
          <w:rFonts w:hint="eastAsia" w:ascii="宋体" w:hAnsi="宋体" w:cs="宋体"/>
          <w:b/>
          <w:bCs/>
          <w:sz w:val="28"/>
          <w:szCs w:val="28"/>
        </w:rPr>
        <w:t>（一）总则</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1.1依据《中华人民共和国政府采购法》、</w:t>
      </w:r>
      <w:r>
        <w:rPr>
          <w:rFonts w:hint="eastAsia" w:ascii="宋体" w:hAnsi="宋体" w:cs="宋体"/>
          <w:sz w:val="24"/>
        </w:rPr>
        <w:t>《物业招投标暂行办法》</w:t>
      </w:r>
      <w:r>
        <w:rPr>
          <w:rFonts w:hint="eastAsia" w:ascii="宋体" w:hAnsi="宋体" w:cs="宋体"/>
          <w:sz w:val="24"/>
          <w:szCs w:val="24"/>
        </w:rPr>
        <w:t>等法律法规和本项目的有关要求，制定本招标文件。</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1.2投标人应认真阅读和充分理解招标文件中所有的内容，不论投标结果如何，投标人须自行承担所有与投标有关的费用和风险。</w:t>
      </w:r>
    </w:p>
    <w:p>
      <w:pPr>
        <w:spacing w:before="166" w:beforeLines="50"/>
        <w:jc w:val="center"/>
        <w:rPr>
          <w:rFonts w:hint="eastAsia" w:ascii="宋体" w:hAnsi="宋体" w:cs="宋体"/>
          <w:b/>
          <w:bCs/>
          <w:sz w:val="28"/>
          <w:szCs w:val="28"/>
        </w:rPr>
      </w:pPr>
      <w:r>
        <w:rPr>
          <w:rFonts w:hint="eastAsia" w:ascii="宋体" w:hAnsi="宋体" w:cs="宋体"/>
          <w:b/>
          <w:bCs/>
          <w:sz w:val="28"/>
          <w:szCs w:val="28"/>
        </w:rPr>
        <w:t>（二）招标文件</w:t>
      </w:r>
    </w:p>
    <w:p>
      <w:pPr>
        <w:spacing w:line="440" w:lineRule="exact"/>
        <w:ind w:firstLine="463" w:firstLineChars="192"/>
        <w:rPr>
          <w:rFonts w:hint="eastAsia" w:ascii="宋体" w:hAnsi="宋体" w:cs="宋体"/>
          <w:b/>
          <w:bCs/>
          <w:sz w:val="24"/>
          <w:szCs w:val="24"/>
        </w:rPr>
      </w:pPr>
      <w:r>
        <w:rPr>
          <w:rFonts w:hint="eastAsia" w:ascii="宋体" w:hAnsi="宋体" w:cs="宋体"/>
          <w:b/>
          <w:bCs/>
          <w:sz w:val="24"/>
          <w:szCs w:val="24"/>
        </w:rPr>
        <w:t>2.1招标文件构成</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（1）招标公告；</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（2）投标人须知；</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（3）评标办法；</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（4）招标需求及技术要求；</w:t>
      </w:r>
    </w:p>
    <w:p>
      <w:pPr>
        <w:spacing w:line="440" w:lineRule="exact"/>
        <w:ind w:firstLine="460" w:firstLineChars="192"/>
        <w:rPr>
          <w:rFonts w:hint="eastAsia" w:ascii="宋体" w:hAnsi="宋体" w:cs="宋体"/>
          <w:sz w:val="24"/>
          <w:szCs w:val="24"/>
        </w:rPr>
      </w:pPr>
      <w:r>
        <w:rPr>
          <w:rFonts w:hint="eastAsia" w:ascii="宋体" w:hAnsi="宋体" w:cs="宋体"/>
          <w:sz w:val="24"/>
          <w:szCs w:val="24"/>
          <w:lang w:val="zh-CN"/>
        </w:rPr>
        <w:t>（5）</w:t>
      </w:r>
      <w:r>
        <w:rPr>
          <w:rFonts w:hint="eastAsia" w:ascii="宋体" w:hAnsi="宋体" w:cs="宋体"/>
          <w:sz w:val="24"/>
          <w:szCs w:val="24"/>
        </w:rPr>
        <w:t>合同条款及格式；</w:t>
      </w:r>
    </w:p>
    <w:p>
      <w:pPr>
        <w:spacing w:line="440" w:lineRule="exact"/>
        <w:ind w:firstLine="460" w:firstLineChars="192"/>
        <w:rPr>
          <w:rFonts w:hint="eastAsia" w:ascii="宋体" w:hAnsi="宋体" w:cs="宋体"/>
          <w:sz w:val="24"/>
          <w:szCs w:val="24"/>
        </w:rPr>
      </w:pPr>
      <w:r>
        <w:rPr>
          <w:rFonts w:hint="eastAsia" w:ascii="宋体" w:hAnsi="宋体" w:cs="宋体"/>
          <w:sz w:val="24"/>
          <w:szCs w:val="24"/>
          <w:lang w:val="zh-CN"/>
        </w:rPr>
        <w:t>（</w:t>
      </w:r>
      <w:r>
        <w:rPr>
          <w:rFonts w:hint="eastAsia" w:ascii="宋体" w:hAnsi="宋体" w:cs="宋体"/>
          <w:sz w:val="24"/>
          <w:szCs w:val="24"/>
        </w:rPr>
        <w:t>6</w:t>
      </w:r>
      <w:r>
        <w:rPr>
          <w:rFonts w:hint="eastAsia" w:ascii="宋体" w:hAnsi="宋体" w:cs="宋体"/>
          <w:sz w:val="24"/>
          <w:szCs w:val="24"/>
          <w:lang w:val="zh-CN"/>
        </w:rPr>
        <w:t>）</w:t>
      </w:r>
      <w:r>
        <w:rPr>
          <w:rFonts w:hint="eastAsia" w:ascii="宋体" w:hAnsi="宋体" w:cs="宋体"/>
          <w:sz w:val="24"/>
          <w:szCs w:val="24"/>
        </w:rPr>
        <w:t>投标文件格式。</w:t>
      </w:r>
    </w:p>
    <w:p>
      <w:pPr>
        <w:spacing w:line="440" w:lineRule="exact"/>
        <w:ind w:firstLine="463" w:firstLineChars="192"/>
        <w:rPr>
          <w:rFonts w:hint="eastAsia" w:ascii="宋体" w:hAnsi="宋体" w:cs="宋体"/>
          <w:b/>
          <w:bCs/>
          <w:sz w:val="24"/>
          <w:szCs w:val="24"/>
        </w:rPr>
      </w:pPr>
      <w:r>
        <w:rPr>
          <w:rFonts w:hint="eastAsia" w:ascii="宋体" w:hAnsi="宋体" w:cs="宋体"/>
          <w:b/>
          <w:bCs/>
          <w:sz w:val="24"/>
          <w:szCs w:val="24"/>
        </w:rPr>
        <w:t>2.2招标文件的修正和澄清</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2.2.1对招标文件的修正</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在某些情况下，招标人和代理机构可能对招标文件进行修正。</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2.2.2对招标文件的异议</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投标人如对招标文件有异议，必须在本招标文件“投标人须知前附表”中规定的时间内，以电子邮件形式通知招标人或代理机构，逾期的澄清要求，概不受理。招标人对在此规定时间以前收到的、且需要做出澄清的异议作出答复。</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2.2.3对异议的答复</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对投标人异议的答复内容将在接到质疑后3个工作日内，在阜阳市房屋管理局fcj.fy.gov.cn上发布，不再另行通知。</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2.2.4</w:t>
      </w:r>
      <w:r>
        <w:rPr>
          <w:rFonts w:hint="eastAsia" w:ascii="宋体" w:hAnsi="宋体" w:cs="宋体"/>
          <w:sz w:val="24"/>
          <w:szCs w:val="24"/>
          <w:lang w:val="zh-CN"/>
        </w:rPr>
        <w:t>澄清或修改</w:t>
      </w:r>
      <w:r>
        <w:rPr>
          <w:rFonts w:hint="eastAsia" w:ascii="宋体" w:hAnsi="宋体" w:cs="宋体"/>
          <w:sz w:val="24"/>
          <w:szCs w:val="24"/>
        </w:rPr>
        <w:t>：招标人对已发出的招标文件进行的必要澄清或者修改的内容可能影响投标文件编制的应在投标截止时间15天前，在阜阳市房屋管理局fcj.fy.gov.cn上发布，</w:t>
      </w:r>
      <w:r>
        <w:rPr>
          <w:rFonts w:hint="eastAsia" w:ascii="宋体" w:hAnsi="宋体" w:cs="宋体"/>
          <w:sz w:val="24"/>
          <w:szCs w:val="24"/>
          <w:lang w:val="zh-CN"/>
        </w:rPr>
        <w:t>招标人不再另行通知。</w:t>
      </w:r>
      <w:r>
        <w:rPr>
          <w:rFonts w:hint="eastAsia" w:ascii="宋体" w:hAnsi="宋体" w:cs="宋体"/>
          <w:sz w:val="24"/>
          <w:szCs w:val="24"/>
        </w:rPr>
        <w:t>距投标截止时间不足15天，相应延长投标截止时间。</w:t>
      </w:r>
    </w:p>
    <w:p>
      <w:pPr>
        <w:spacing w:line="440" w:lineRule="exact"/>
        <w:ind w:firstLine="460" w:firstLineChars="192"/>
        <w:rPr>
          <w:rFonts w:hint="eastAsia" w:ascii="宋体" w:hAnsi="宋体" w:cs="宋体"/>
          <w:sz w:val="24"/>
          <w:szCs w:val="24"/>
          <w:lang w:val="zh-CN"/>
        </w:rPr>
      </w:pPr>
      <w:r>
        <w:rPr>
          <w:rFonts w:hint="eastAsia" w:ascii="宋体" w:hAnsi="宋体" w:cs="宋体"/>
          <w:sz w:val="24"/>
          <w:szCs w:val="24"/>
        </w:rPr>
        <w:t>2.2.5</w:t>
      </w:r>
      <w:r>
        <w:rPr>
          <w:rFonts w:hint="eastAsia" w:ascii="宋体" w:hAnsi="宋体" w:cs="宋体"/>
          <w:sz w:val="24"/>
          <w:szCs w:val="24"/>
          <w:lang w:val="zh-CN"/>
        </w:rPr>
        <w:t>澄清或修改内容为招标文件的组成部分，对投标人具有同样约束力效力。投标人应主动上网查询。招标人不承担投标人未及时关注相关信息引发的相关责任。</w:t>
      </w:r>
    </w:p>
    <w:p>
      <w:pPr>
        <w:pStyle w:val="16"/>
        <w:ind w:firstLine="560"/>
        <w:rPr>
          <w:rFonts w:hint="eastAsia"/>
          <w:lang w:val="zh-CN"/>
        </w:rPr>
      </w:pPr>
    </w:p>
    <w:p>
      <w:pPr>
        <w:jc w:val="center"/>
        <w:rPr>
          <w:rFonts w:hint="eastAsia" w:ascii="宋体" w:hAnsi="宋体" w:cs="宋体"/>
          <w:b/>
          <w:bCs/>
          <w:sz w:val="28"/>
          <w:szCs w:val="28"/>
        </w:rPr>
      </w:pPr>
      <w:r>
        <w:rPr>
          <w:rFonts w:hint="eastAsia" w:ascii="宋体" w:hAnsi="宋体" w:cs="宋体"/>
          <w:b/>
          <w:bCs/>
          <w:sz w:val="28"/>
          <w:szCs w:val="28"/>
        </w:rPr>
        <w:t>（三）投标文件的编制</w:t>
      </w:r>
    </w:p>
    <w:p>
      <w:pPr>
        <w:spacing w:line="440" w:lineRule="exact"/>
        <w:ind w:firstLine="463" w:firstLineChars="192"/>
        <w:rPr>
          <w:rFonts w:hint="eastAsia" w:ascii="宋体" w:hAnsi="宋体" w:cs="宋体"/>
          <w:b/>
          <w:bCs/>
          <w:sz w:val="24"/>
          <w:szCs w:val="24"/>
        </w:rPr>
      </w:pPr>
      <w:r>
        <w:rPr>
          <w:rFonts w:hint="eastAsia" w:ascii="宋体" w:hAnsi="宋体" w:cs="宋体"/>
          <w:b/>
          <w:bCs/>
          <w:sz w:val="24"/>
          <w:szCs w:val="24"/>
        </w:rPr>
        <w:t>3.1投标文件的真实性</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3.1.1投标人必须对其投标文件中提供的所有材料及承诺的真实性和准确性负责，如弄虚作假，将依据政府采购法等有关法律法规处理。</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3.1.2投标人一旦投标中标，其投标文件将作为合同的重要组成部分。</w:t>
      </w:r>
    </w:p>
    <w:p>
      <w:pPr>
        <w:spacing w:line="440" w:lineRule="exact"/>
        <w:ind w:firstLine="463" w:firstLineChars="192"/>
        <w:rPr>
          <w:rFonts w:hint="eastAsia" w:ascii="宋体" w:hAnsi="宋体" w:cs="宋体"/>
          <w:b/>
          <w:bCs/>
          <w:sz w:val="24"/>
          <w:szCs w:val="24"/>
        </w:rPr>
      </w:pPr>
      <w:r>
        <w:rPr>
          <w:rFonts w:hint="eastAsia" w:ascii="宋体" w:hAnsi="宋体" w:cs="宋体"/>
          <w:b/>
          <w:bCs/>
          <w:sz w:val="24"/>
          <w:szCs w:val="24"/>
        </w:rPr>
        <w:t>3.2投标文件编制</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3.2.1投标文件应由技术标书和商务标书组成。</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3.2.2技术标书编制。</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技术标书应包含实施方案，实施方案应按照以下要求及招标文件中技术标评审表给定的各要点进行编制，投标人也可增加一些其他合适的内容。</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（1）项目定位及服务理念；</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（2）机构、人员、规章制度建立；</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（3）专业及日常化管理（含应急方案）；</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（4）物业维修养护计划和实施；</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（5）承接查验；</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（6）社区文化、创优计划及服务承诺。</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3.2.3商务标书编制</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商务标书编制应包括以下内容：</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（1）投标函；</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（2）法人代表人身份证明或授权授权书；</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（3）报价一览表；</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（4）物业管理综合服务费的测算（支出与收入）：</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①各分项成本详细预算（物业服务支出）；</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物业服务支出预算应包含人工费、社保费、服装费、低值易耗品使用、垃圾清运费、利润、税收等。人员工资不得低于阜阳市现行最低标准。</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②物业服务收入；</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（5）投标人企业简介；</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（6）投标人资格证明材料：</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①营业执照（副本）、税务登记证、组织机构代码，如为“三证合一”，只需提供营业执照（副本）；</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②阜阳市外企业（含五县三区）中标后，到阜阳市房地产行政主管部门进行备案的承诺书；</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③投标保证金交纳凭证；</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④企业基本账户开户许可证。</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（7）投标人自行补充的其他材料。</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3.2.4投标文件的编制要求</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3.2.4.1投标人必须严格按照本招标文件规定的格式编制投标文件，不得对招标文件中规定的格式、条款和服务要求进行修改。否则，其投标文件在评审时有可能被认为是未对招标文件做出实质性响应而中止对其作进一步的评审。</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3.2.4.2投标人在其投标文件中，应包括证明其有资格参加投标和中标后有能力履行合同的资质证明文件。</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3.2.4.3投标人按照招标文件要求提供的服务如果不是自己所有的，投标人应得到所有人的正式授权，同意提供该服务。</w:t>
      </w:r>
    </w:p>
    <w:p>
      <w:pPr>
        <w:spacing w:line="440" w:lineRule="exact"/>
        <w:ind w:firstLine="460" w:firstLineChars="192"/>
        <w:rPr>
          <w:rFonts w:hint="eastAsia" w:ascii="宋体" w:hAnsi="宋体" w:cs="宋体"/>
          <w:sz w:val="24"/>
          <w:szCs w:val="24"/>
        </w:rPr>
      </w:pPr>
      <w:bookmarkStart w:id="5" w:name="_Toc438561260"/>
      <w:bookmarkStart w:id="6" w:name="_Toc438822070"/>
      <w:r>
        <w:rPr>
          <w:rFonts w:hint="eastAsia" w:ascii="宋体" w:hAnsi="宋体" w:cs="宋体"/>
          <w:sz w:val="24"/>
          <w:szCs w:val="24"/>
        </w:rPr>
        <w:t>3.2.4.4投标文件不得行间插字、涂改或增删。如有修改，必须由投标人的法定代表人或其授权代表签字并加盖投标单位公章，否则其投标文件将不能进入实质性投标。</w:t>
      </w:r>
      <w:bookmarkEnd w:id="5"/>
      <w:bookmarkEnd w:id="6"/>
    </w:p>
    <w:p>
      <w:pPr>
        <w:spacing w:line="440" w:lineRule="exact"/>
        <w:ind w:firstLine="463" w:firstLineChars="192"/>
        <w:rPr>
          <w:rFonts w:hint="eastAsia" w:ascii="宋体" w:hAnsi="宋体" w:cs="宋体"/>
          <w:b/>
          <w:bCs/>
          <w:sz w:val="24"/>
          <w:szCs w:val="24"/>
        </w:rPr>
      </w:pPr>
      <w:r>
        <w:rPr>
          <w:rFonts w:hint="eastAsia" w:ascii="宋体" w:hAnsi="宋体" w:cs="宋体"/>
          <w:b/>
          <w:bCs/>
          <w:sz w:val="24"/>
          <w:szCs w:val="24"/>
        </w:rPr>
        <w:t>3.3投标文件的语言单位及计量单位</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3.3.1投标人的投标文件以及投标人与招投标中心就有关投标的所有往来函件均须使用中文。</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3.3.2投标文件所使用的计量单位均须采用中华人民共和国法定计量单位。</w:t>
      </w:r>
    </w:p>
    <w:p>
      <w:pPr>
        <w:spacing w:line="440" w:lineRule="exact"/>
        <w:ind w:firstLine="463" w:firstLineChars="192"/>
        <w:rPr>
          <w:rFonts w:hint="eastAsia" w:ascii="宋体" w:hAnsi="宋体" w:cs="宋体"/>
          <w:b/>
          <w:bCs/>
          <w:sz w:val="24"/>
          <w:szCs w:val="24"/>
        </w:rPr>
      </w:pPr>
      <w:r>
        <w:rPr>
          <w:rFonts w:hint="eastAsia" w:ascii="宋体" w:hAnsi="宋体" w:cs="宋体"/>
          <w:b/>
          <w:bCs/>
          <w:sz w:val="24"/>
          <w:szCs w:val="24"/>
        </w:rPr>
        <w:t>3.4投标报价</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3.4.1投标人须以人民币报价。</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3.4.2多方案、多报价的投标文件不能进入评审。</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3.4.3服务期内规定的各种法定服务费用应包括在投标报价中，该报价为履行合同的固定价格。</w:t>
      </w:r>
    </w:p>
    <w:p>
      <w:pPr>
        <w:spacing w:line="440" w:lineRule="exact"/>
        <w:ind w:firstLine="463" w:firstLineChars="192"/>
        <w:rPr>
          <w:rFonts w:hint="eastAsia" w:ascii="宋体" w:hAnsi="宋体" w:cs="宋体"/>
          <w:b/>
          <w:bCs/>
          <w:sz w:val="24"/>
          <w:szCs w:val="24"/>
        </w:rPr>
      </w:pPr>
      <w:r>
        <w:rPr>
          <w:rFonts w:hint="eastAsia" w:ascii="宋体" w:hAnsi="宋体" w:cs="宋体"/>
          <w:b/>
          <w:bCs/>
          <w:sz w:val="24"/>
          <w:szCs w:val="24"/>
        </w:rPr>
        <w:t>3.5投标文件的其他要求</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3.5.1投标文件必须按招标文件规定的要求加盖投标单位公章。</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3.5.2招标文件中要求投标人提供的所有资料必须按投标文件要求完整装订在投标文件中，应装订而未装订在投标文件中的视为没提供。</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3.5.3每份投标文件必须在右上角清楚地标明“正本”或“副本”字样，正本与副本必须一致，若正本与副本不一致，以正本为准。</w:t>
      </w:r>
    </w:p>
    <w:p>
      <w:pPr>
        <w:spacing w:line="440" w:lineRule="exact"/>
        <w:ind w:firstLine="463" w:firstLineChars="192"/>
        <w:rPr>
          <w:rFonts w:hint="eastAsia" w:ascii="宋体" w:hAnsi="宋体" w:cs="宋体"/>
          <w:b/>
          <w:bCs/>
          <w:sz w:val="24"/>
          <w:szCs w:val="24"/>
        </w:rPr>
      </w:pPr>
      <w:r>
        <w:rPr>
          <w:rFonts w:hint="eastAsia" w:ascii="宋体" w:hAnsi="宋体" w:cs="宋体"/>
          <w:b/>
          <w:bCs/>
          <w:sz w:val="24"/>
          <w:szCs w:val="24"/>
        </w:rPr>
        <w:t>3.6投标有效期</w:t>
      </w:r>
    </w:p>
    <w:p>
      <w:pPr>
        <w:spacing w:line="440" w:lineRule="exact"/>
        <w:ind w:firstLine="460" w:firstLineChars="192"/>
        <w:rPr>
          <w:rFonts w:hint="eastAsia" w:ascii="宋体" w:hAnsi="宋体" w:cs="宋体"/>
          <w:sz w:val="24"/>
          <w:szCs w:val="24"/>
        </w:rPr>
      </w:pPr>
      <w:bookmarkStart w:id="7" w:name="_Toc438822071"/>
      <w:bookmarkStart w:id="8" w:name="_Toc438561261"/>
      <w:r>
        <w:rPr>
          <w:rFonts w:hint="eastAsia" w:ascii="宋体" w:hAnsi="宋体" w:cs="宋体"/>
          <w:sz w:val="24"/>
          <w:szCs w:val="24"/>
        </w:rPr>
        <w:t>投标有效期在“投标人须知前附表”中有明确的规定。投标人承诺的投标有效期短于此规定时间的，将被视为非响应性投标而予以拒绝。</w:t>
      </w:r>
      <w:bookmarkEnd w:id="7"/>
      <w:bookmarkEnd w:id="8"/>
    </w:p>
    <w:p>
      <w:pPr>
        <w:spacing w:line="440" w:lineRule="exact"/>
        <w:ind w:firstLine="463" w:firstLineChars="192"/>
        <w:rPr>
          <w:rFonts w:hint="eastAsia" w:ascii="宋体" w:hAnsi="宋体" w:cs="宋体"/>
          <w:b/>
          <w:bCs/>
          <w:sz w:val="24"/>
          <w:szCs w:val="24"/>
        </w:rPr>
      </w:pPr>
      <w:r>
        <w:rPr>
          <w:rFonts w:hint="eastAsia" w:ascii="宋体" w:hAnsi="宋体" w:cs="宋体"/>
          <w:b/>
          <w:bCs/>
          <w:sz w:val="24"/>
          <w:szCs w:val="24"/>
        </w:rPr>
        <w:t>3.7投标保证金</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 xml:space="preserve">3.7.1 投标人在递交投标文件的同时，应按投标人须知前附表规定的金额、担保形式、递交方式递交投标保证金，并作为其投标文件的组成部分。 </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3.7.2 投标人不按投标人须知前附表要求提交投标保证金的，其投标文件作废标处理。</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3.7.3评标结束后，中标候选人的投标保证金银行汇票由欧邦工程管理有限公司留置并开具收据。中标人的投标保证金银行汇票签订合同后退还；待中标通知书发出后，其他中标候选人凭欧邦工程管理有限公司的收据换取投标保证金银行汇票；正常情况下，未被推荐为中标候选人的投标保证金银行汇票将当场予以退还。采用现金转账方式缴纳的投标保证金的，在评标结果公示结束后退还，最迟应当在书面合同签订后5日内向其退还投标保证金。</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3.7.4有下列情形之一的，投标保证金将不予退还：</w:t>
      </w:r>
    </w:p>
    <w:p>
      <w:pPr>
        <w:numPr>
          <w:ilvl w:val="0"/>
          <w:numId w:val="1"/>
        </w:numPr>
        <w:spacing w:line="440" w:lineRule="exact"/>
        <w:ind w:firstLine="460" w:firstLineChars="192"/>
        <w:rPr>
          <w:rFonts w:hint="eastAsia" w:ascii="宋体" w:hAnsi="宋体" w:cs="宋体"/>
          <w:sz w:val="24"/>
          <w:szCs w:val="24"/>
        </w:rPr>
      </w:pPr>
      <w:r>
        <w:rPr>
          <w:rFonts w:hint="eastAsia" w:ascii="宋体" w:hAnsi="宋体" w:cs="宋体"/>
          <w:sz w:val="24"/>
          <w:szCs w:val="24"/>
        </w:rPr>
        <w:t>在招标投标活动中串通投标、弄虚作假、以他人名义投标；</w:t>
      </w:r>
    </w:p>
    <w:p>
      <w:pPr>
        <w:numPr>
          <w:ilvl w:val="0"/>
          <w:numId w:val="1"/>
        </w:numPr>
        <w:spacing w:line="440" w:lineRule="exact"/>
        <w:ind w:firstLine="460" w:firstLineChars="192"/>
        <w:rPr>
          <w:rFonts w:hint="eastAsia" w:ascii="宋体" w:hAnsi="宋体" w:cs="宋体"/>
          <w:sz w:val="24"/>
          <w:szCs w:val="24"/>
        </w:rPr>
      </w:pPr>
      <w:r>
        <w:rPr>
          <w:rFonts w:hint="eastAsia" w:ascii="宋体" w:hAnsi="宋体" w:cs="宋体"/>
          <w:sz w:val="24"/>
          <w:szCs w:val="24"/>
        </w:rPr>
        <w:t>投标人在投标文件中提供虚假材料的；</w:t>
      </w:r>
    </w:p>
    <w:p>
      <w:pPr>
        <w:numPr>
          <w:ilvl w:val="0"/>
          <w:numId w:val="1"/>
        </w:numPr>
        <w:spacing w:line="440" w:lineRule="exact"/>
        <w:ind w:firstLine="460" w:firstLineChars="192"/>
        <w:rPr>
          <w:rFonts w:hint="eastAsia" w:ascii="宋体" w:hAnsi="宋体" w:cs="宋体"/>
          <w:sz w:val="24"/>
          <w:szCs w:val="24"/>
        </w:rPr>
      </w:pPr>
      <w:r>
        <w:rPr>
          <w:rFonts w:hint="eastAsia" w:ascii="宋体" w:hAnsi="宋体" w:cs="宋体"/>
          <w:sz w:val="24"/>
          <w:szCs w:val="24"/>
        </w:rPr>
        <w:t>投标人在规定的投标有效期内撤销或修改其投标文件；</w:t>
      </w:r>
    </w:p>
    <w:p>
      <w:pPr>
        <w:numPr>
          <w:ilvl w:val="0"/>
          <w:numId w:val="1"/>
        </w:numPr>
        <w:spacing w:line="440" w:lineRule="exact"/>
        <w:ind w:firstLine="460" w:firstLineChars="192"/>
        <w:rPr>
          <w:rFonts w:hint="eastAsia" w:ascii="宋体" w:hAnsi="宋体" w:cs="宋体"/>
          <w:sz w:val="24"/>
          <w:szCs w:val="24"/>
        </w:rPr>
      </w:pPr>
      <w:r>
        <w:rPr>
          <w:rFonts w:hint="eastAsia" w:ascii="宋体" w:hAnsi="宋体" w:cs="宋体"/>
          <w:sz w:val="24"/>
          <w:szCs w:val="24"/>
        </w:rPr>
        <w:t>中标候选人除不可抗力或招标文件认可的情形以外，中标人在收到中标通知书后，无正当理由拒签合同协议书或未按招标文件规定提交履约担保；</w:t>
      </w:r>
    </w:p>
    <w:p>
      <w:pPr>
        <w:numPr>
          <w:ilvl w:val="0"/>
          <w:numId w:val="1"/>
        </w:numPr>
        <w:spacing w:line="440" w:lineRule="exact"/>
        <w:ind w:firstLine="460" w:firstLineChars="192"/>
        <w:rPr>
          <w:rFonts w:hint="eastAsia" w:ascii="宋体" w:hAnsi="宋体" w:cs="宋体"/>
          <w:sz w:val="24"/>
          <w:szCs w:val="24"/>
        </w:rPr>
      </w:pPr>
      <w:r>
        <w:rPr>
          <w:rFonts w:hint="eastAsia" w:ascii="宋体" w:hAnsi="宋体" w:cs="宋体"/>
          <w:sz w:val="24"/>
          <w:szCs w:val="24"/>
        </w:rPr>
        <w:t>投标人与招标人、其他投标人或者招标代理机构恶意串通的；</w:t>
      </w:r>
    </w:p>
    <w:p>
      <w:pPr>
        <w:numPr>
          <w:ilvl w:val="0"/>
          <w:numId w:val="1"/>
        </w:numPr>
        <w:spacing w:line="440" w:lineRule="exact"/>
        <w:ind w:firstLine="460" w:firstLineChars="192"/>
        <w:rPr>
          <w:rFonts w:hint="eastAsia" w:ascii="宋体" w:hAnsi="宋体" w:cs="宋体"/>
          <w:sz w:val="24"/>
          <w:szCs w:val="24"/>
        </w:rPr>
      </w:pPr>
      <w:r>
        <w:rPr>
          <w:rFonts w:hint="eastAsia" w:ascii="宋体" w:hAnsi="宋体" w:cs="宋体"/>
          <w:sz w:val="24"/>
          <w:szCs w:val="24"/>
        </w:rPr>
        <w:t>招标文件规定的其他情形。</w:t>
      </w:r>
    </w:p>
    <w:p>
      <w:pPr>
        <w:spacing w:before="166" w:beforeLines="50"/>
        <w:jc w:val="center"/>
        <w:rPr>
          <w:rFonts w:hint="eastAsia" w:ascii="宋体" w:hAnsi="宋体" w:cs="宋体"/>
          <w:b/>
          <w:bCs/>
          <w:sz w:val="28"/>
          <w:szCs w:val="28"/>
        </w:rPr>
      </w:pPr>
      <w:r>
        <w:rPr>
          <w:rFonts w:hint="eastAsia" w:ascii="宋体" w:hAnsi="宋体" w:cs="宋体"/>
          <w:b/>
          <w:bCs/>
          <w:sz w:val="28"/>
          <w:szCs w:val="28"/>
        </w:rPr>
        <w:t>（四）投标文件的递交</w:t>
      </w:r>
    </w:p>
    <w:p>
      <w:pPr>
        <w:spacing w:line="440" w:lineRule="exact"/>
        <w:ind w:firstLine="463" w:firstLineChars="192"/>
        <w:rPr>
          <w:rFonts w:hint="eastAsia" w:ascii="宋体" w:hAnsi="宋体" w:cs="宋体"/>
          <w:b/>
          <w:bCs/>
          <w:sz w:val="24"/>
          <w:szCs w:val="24"/>
        </w:rPr>
      </w:pPr>
      <w:r>
        <w:rPr>
          <w:rFonts w:hint="eastAsia" w:ascii="宋体" w:hAnsi="宋体" w:cs="宋体"/>
          <w:b/>
          <w:bCs/>
          <w:sz w:val="24"/>
          <w:szCs w:val="24"/>
        </w:rPr>
        <w:t>4.1投标书的份数和有效性</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4.1.1投标人须分包编制“正本”投标书一份，“副本”投标书四份，并明确标明“正本”和“副本”，于规定的投标截止日期内递交给招标人。投标书正本和副本如有不一致之处，以正本为准。</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4.1.2投标书正本与副本均应使用打印文稿。</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4.1.3投标书应无涂改和行间插写，除非这些删改是根据招标单位的指示进行的，或者是投标人造成的必须个别修改的错误，修改处应由投标人加盖公章。</w:t>
      </w:r>
    </w:p>
    <w:p>
      <w:pPr>
        <w:spacing w:line="440" w:lineRule="exact"/>
        <w:ind w:firstLine="463" w:firstLineChars="192"/>
        <w:rPr>
          <w:rFonts w:hint="eastAsia" w:ascii="宋体" w:hAnsi="宋体" w:cs="宋体"/>
          <w:b/>
          <w:bCs/>
          <w:sz w:val="24"/>
          <w:szCs w:val="24"/>
        </w:rPr>
      </w:pPr>
      <w:r>
        <w:rPr>
          <w:rFonts w:hint="eastAsia" w:ascii="宋体" w:hAnsi="宋体" w:cs="宋体"/>
          <w:b/>
          <w:bCs/>
          <w:sz w:val="24"/>
          <w:szCs w:val="24"/>
        </w:rPr>
        <w:t>4.2投标书的密封与标识</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4.2.1投标人应将投标书的正本和副本分别密封，并在封袋上正确标明“正本”和“副本”。</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4.2.2所有封袋上都应写明招标人名称和招标项目名称以及投标人的名称、地址、邮政编码。</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4.2.3所有“正本”与“副本”必须在密封处加盖公章。</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4.2.4如果投标人未按上述规定提交的投标书，招标人有权拒绝接收，原封退还给投标人。</w:t>
      </w:r>
    </w:p>
    <w:p>
      <w:pPr>
        <w:spacing w:before="166" w:beforeLines="50"/>
        <w:jc w:val="center"/>
        <w:rPr>
          <w:rFonts w:hint="eastAsia" w:ascii="宋体" w:hAnsi="宋体" w:cs="宋体"/>
          <w:b/>
          <w:bCs/>
          <w:sz w:val="28"/>
          <w:szCs w:val="28"/>
        </w:rPr>
      </w:pPr>
      <w:r>
        <w:rPr>
          <w:rFonts w:hint="eastAsia" w:ascii="宋体" w:hAnsi="宋体" w:cs="宋体"/>
          <w:b/>
          <w:bCs/>
          <w:sz w:val="28"/>
          <w:szCs w:val="28"/>
        </w:rPr>
        <w:t>（五）开标与评标</w:t>
      </w:r>
    </w:p>
    <w:p>
      <w:pPr>
        <w:spacing w:line="440" w:lineRule="exact"/>
        <w:ind w:firstLine="463" w:firstLineChars="192"/>
        <w:rPr>
          <w:rFonts w:hint="eastAsia" w:ascii="宋体" w:hAnsi="宋体" w:cs="宋体"/>
          <w:b/>
          <w:bCs/>
          <w:sz w:val="24"/>
          <w:szCs w:val="24"/>
        </w:rPr>
      </w:pPr>
      <w:r>
        <w:rPr>
          <w:rFonts w:hint="eastAsia" w:ascii="宋体" w:hAnsi="宋体" w:cs="宋体"/>
          <w:b/>
          <w:bCs/>
          <w:sz w:val="24"/>
          <w:szCs w:val="24"/>
        </w:rPr>
        <w:t>5.1开标</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5.1.1将在“招标公告”规定的时间和地点组织开标，投标人可委派代表参加。</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5.1.2开标前，先由投标人代表检查投标文件的密封情况。经确认无误后，由工作人员拆封、唱标。</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5.1.3唱标的内容包括投标人名称、投标报价、书面修改和撤回投标的通知（如有）以及其它详细内容。</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5.1.4代理机构将做开标记录，记录的内容应包括开标时宣读的全部内容。</w:t>
      </w:r>
    </w:p>
    <w:p>
      <w:pPr>
        <w:spacing w:line="440" w:lineRule="exact"/>
        <w:ind w:firstLine="463" w:firstLineChars="192"/>
        <w:rPr>
          <w:rFonts w:hint="eastAsia" w:ascii="宋体" w:hAnsi="宋体" w:cs="宋体"/>
          <w:b/>
          <w:bCs/>
          <w:sz w:val="24"/>
          <w:szCs w:val="24"/>
        </w:rPr>
      </w:pPr>
      <w:r>
        <w:rPr>
          <w:rFonts w:hint="eastAsia" w:ascii="宋体" w:hAnsi="宋体" w:cs="宋体"/>
          <w:b/>
          <w:bCs/>
          <w:sz w:val="24"/>
          <w:szCs w:val="24"/>
        </w:rPr>
        <w:t>5.2评标</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5.2.1开标会结束后，评标随即开始。</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5.2.2评标工作由为该项目专门组织的5人及以上单数组成的评标委员会进行。</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5.2.3评标委员会按先初审、后推荐中标候选人的程序对投标文件进行评审。</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5.2.4初审阶段，属于下列情况的投标文件将不得进入复审：</w:t>
      </w:r>
    </w:p>
    <w:p>
      <w:pPr>
        <w:numPr>
          <w:ilvl w:val="0"/>
          <w:numId w:val="2"/>
        </w:numPr>
        <w:spacing w:line="440" w:lineRule="exact"/>
        <w:ind w:firstLine="460" w:firstLineChars="192"/>
        <w:rPr>
          <w:rFonts w:hint="eastAsia" w:ascii="宋体" w:hAnsi="宋体" w:cs="宋体"/>
          <w:sz w:val="24"/>
          <w:szCs w:val="24"/>
        </w:rPr>
      </w:pPr>
      <w:r>
        <w:rPr>
          <w:rFonts w:hint="eastAsia" w:ascii="宋体" w:hAnsi="宋体" w:cs="宋体"/>
          <w:sz w:val="24"/>
          <w:szCs w:val="24"/>
        </w:rPr>
        <w:t>投标文件未经法定代表人或其授权代表签字、加盖公章的；</w:t>
      </w:r>
    </w:p>
    <w:p>
      <w:pPr>
        <w:numPr>
          <w:ilvl w:val="0"/>
          <w:numId w:val="2"/>
        </w:numPr>
        <w:spacing w:line="440" w:lineRule="exact"/>
        <w:ind w:firstLine="460" w:firstLineChars="192"/>
        <w:rPr>
          <w:rFonts w:hint="eastAsia" w:ascii="宋体" w:hAnsi="宋体" w:cs="宋体"/>
          <w:sz w:val="24"/>
          <w:szCs w:val="24"/>
        </w:rPr>
      </w:pPr>
      <w:r>
        <w:rPr>
          <w:rFonts w:hint="eastAsia" w:ascii="宋体" w:hAnsi="宋体" w:cs="宋体"/>
          <w:sz w:val="24"/>
          <w:szCs w:val="24"/>
        </w:rPr>
        <w:t>投标文件编排混乱且擅自修改招标文件格式化文件的；</w:t>
      </w:r>
    </w:p>
    <w:p>
      <w:pPr>
        <w:numPr>
          <w:ilvl w:val="0"/>
          <w:numId w:val="2"/>
        </w:numPr>
        <w:spacing w:line="440" w:lineRule="exact"/>
        <w:ind w:firstLine="460" w:firstLineChars="192"/>
        <w:rPr>
          <w:rFonts w:hint="eastAsia" w:ascii="宋体" w:hAnsi="宋体" w:cs="宋体"/>
          <w:sz w:val="24"/>
          <w:szCs w:val="24"/>
        </w:rPr>
      </w:pPr>
      <w:r>
        <w:rPr>
          <w:rFonts w:hint="eastAsia" w:ascii="宋体" w:hAnsi="宋体" w:cs="宋体"/>
          <w:sz w:val="24"/>
          <w:szCs w:val="24"/>
        </w:rPr>
        <w:t>招标文件规定的其他不能进入复审的相关要求。</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5.2.5评标委员会在评标时将分别与各投标人就其服务中涉及的内容、条款、价格进行咨询和评标。其后，评标委员会根据咨询和评标的结果，综合评价各投标人，排出拟授标人的名单。</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5.2.6推荐中标候选人：通过了初步评审的投标人，按其综合评审得分由高到低顺序推荐1-3名中标候选人。若综合评审得分相同时，以投标报价低者优先；若投标报价再相同时，则由招标人以抽签的方式排序。</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5.2.7投标文件的澄清</w:t>
      </w:r>
    </w:p>
    <w:p>
      <w:pPr>
        <w:spacing w:line="440" w:lineRule="exact"/>
        <w:ind w:firstLine="460" w:firstLineChars="192"/>
        <w:rPr>
          <w:rFonts w:hint="eastAsia"/>
        </w:rPr>
      </w:pPr>
      <w:r>
        <w:rPr>
          <w:rFonts w:hint="eastAsia" w:ascii="宋体" w:hAnsi="宋体" w:cs="宋体"/>
          <w:sz w:val="24"/>
          <w:szCs w:val="24"/>
        </w:rPr>
        <w:t>评审时，对投标人描述不清晰的方面，评标委员会可以要求投标人进行澄清。有关澄清的要求和答复均须以书面形式，但不得对投标的实质性内容进行更改。</w:t>
      </w:r>
    </w:p>
    <w:p>
      <w:pPr>
        <w:spacing w:before="166" w:beforeLines="50"/>
        <w:jc w:val="center"/>
        <w:rPr>
          <w:rFonts w:hint="eastAsia" w:ascii="宋体" w:hAnsi="宋体" w:cs="宋体"/>
          <w:b/>
          <w:bCs/>
          <w:sz w:val="28"/>
          <w:szCs w:val="28"/>
        </w:rPr>
      </w:pPr>
      <w:r>
        <w:rPr>
          <w:rFonts w:hint="eastAsia" w:ascii="宋体" w:hAnsi="宋体" w:cs="宋体"/>
          <w:b/>
          <w:bCs/>
          <w:sz w:val="28"/>
          <w:szCs w:val="28"/>
        </w:rPr>
        <w:t>（六）授予合同</w:t>
      </w:r>
    </w:p>
    <w:p>
      <w:pPr>
        <w:spacing w:line="440" w:lineRule="exact"/>
        <w:ind w:firstLine="463" w:firstLineChars="192"/>
        <w:rPr>
          <w:rFonts w:hint="eastAsia" w:ascii="宋体" w:hAnsi="宋体" w:cs="宋体"/>
          <w:b/>
          <w:bCs/>
          <w:sz w:val="24"/>
          <w:szCs w:val="24"/>
        </w:rPr>
      </w:pPr>
      <w:bookmarkStart w:id="9" w:name="_Toc438561263"/>
      <w:bookmarkStart w:id="10" w:name="_Toc438822073"/>
      <w:r>
        <w:rPr>
          <w:rFonts w:hint="eastAsia" w:ascii="宋体" w:hAnsi="宋体" w:cs="宋体"/>
          <w:b/>
          <w:bCs/>
          <w:sz w:val="24"/>
          <w:szCs w:val="24"/>
        </w:rPr>
        <w:t>6.1定标方式</w:t>
      </w:r>
      <w:bookmarkEnd w:id="9"/>
      <w:bookmarkEnd w:id="10"/>
    </w:p>
    <w:p>
      <w:pPr>
        <w:spacing w:line="440" w:lineRule="exact"/>
        <w:ind w:firstLine="460" w:firstLineChars="192"/>
        <w:rPr>
          <w:rFonts w:hint="eastAsia" w:ascii="宋体" w:hAnsi="宋体" w:cs="宋体"/>
          <w:sz w:val="24"/>
          <w:szCs w:val="24"/>
        </w:rPr>
      </w:pPr>
      <w:bookmarkStart w:id="11" w:name="_Toc152045568"/>
      <w:bookmarkStart w:id="12" w:name="_Toc179632586"/>
      <w:bookmarkStart w:id="13" w:name="_Toc152042344"/>
      <w:bookmarkStart w:id="14" w:name="_Toc144974536"/>
      <w:r>
        <w:rPr>
          <w:rFonts w:hint="eastAsia" w:ascii="宋体" w:hAnsi="宋体" w:cs="宋体"/>
          <w:sz w:val="24"/>
          <w:szCs w:val="24"/>
        </w:rPr>
        <w:t xml:space="preserve">除投标人须知前附表规定评标委员会直接确定中标人外，招标人依据评标委员会推荐的中标候选人确定中标人，原则上第一中标候选人即为最终中标人，第一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 </w:t>
      </w:r>
    </w:p>
    <w:p>
      <w:pPr>
        <w:spacing w:line="440" w:lineRule="exact"/>
        <w:ind w:firstLine="463" w:firstLineChars="192"/>
        <w:rPr>
          <w:rFonts w:hint="eastAsia" w:ascii="宋体" w:hAnsi="宋体" w:cs="宋体"/>
          <w:b/>
          <w:bCs/>
          <w:sz w:val="24"/>
          <w:szCs w:val="24"/>
        </w:rPr>
      </w:pPr>
      <w:bookmarkStart w:id="15" w:name="_Toc438822074"/>
      <w:bookmarkStart w:id="16" w:name="_Toc438561264"/>
      <w:bookmarkStart w:id="17" w:name="_Toc17446"/>
      <w:r>
        <w:rPr>
          <w:rFonts w:hint="eastAsia" w:ascii="宋体" w:hAnsi="宋体" w:cs="宋体"/>
          <w:b/>
          <w:bCs/>
          <w:sz w:val="24"/>
          <w:szCs w:val="24"/>
        </w:rPr>
        <w:t>6.2中标候选人公告、中标通知</w:t>
      </w:r>
      <w:bookmarkEnd w:id="11"/>
      <w:bookmarkEnd w:id="12"/>
      <w:bookmarkEnd w:id="13"/>
      <w:bookmarkEnd w:id="14"/>
      <w:bookmarkEnd w:id="15"/>
      <w:bookmarkEnd w:id="16"/>
      <w:bookmarkEnd w:id="17"/>
    </w:p>
    <w:p>
      <w:pPr>
        <w:spacing w:line="440" w:lineRule="exact"/>
        <w:ind w:firstLine="460" w:firstLineChars="192"/>
        <w:rPr>
          <w:rFonts w:hint="eastAsia" w:ascii="宋体" w:hAnsi="宋体" w:cs="宋体"/>
          <w:sz w:val="24"/>
          <w:szCs w:val="24"/>
        </w:rPr>
      </w:pPr>
      <w:bookmarkStart w:id="18" w:name="_Toc21270"/>
      <w:r>
        <w:rPr>
          <w:rFonts w:hint="eastAsia" w:ascii="宋体" w:hAnsi="宋体" w:cs="宋体"/>
          <w:sz w:val="24"/>
          <w:szCs w:val="24"/>
        </w:rPr>
        <w:t>6.2.1 招标人在阜阳市房屋管理局fcj.fy.gov.cn上发布公示中标候选人，公示时间不少于3日</w:t>
      </w:r>
      <w:bookmarkEnd w:id="18"/>
      <w:r>
        <w:rPr>
          <w:rFonts w:hint="eastAsia" w:ascii="宋体" w:hAnsi="宋体" w:cs="宋体"/>
          <w:sz w:val="24"/>
          <w:szCs w:val="24"/>
        </w:rPr>
        <w:t>。</w:t>
      </w:r>
    </w:p>
    <w:p>
      <w:pPr>
        <w:spacing w:line="440" w:lineRule="exact"/>
        <w:ind w:firstLine="460" w:firstLineChars="192"/>
        <w:rPr>
          <w:rFonts w:hint="eastAsia" w:ascii="宋体" w:hAnsi="宋体" w:cs="宋体"/>
          <w:sz w:val="24"/>
          <w:szCs w:val="24"/>
        </w:rPr>
      </w:pPr>
      <w:bookmarkStart w:id="19" w:name="_Toc10295"/>
      <w:r>
        <w:rPr>
          <w:rFonts w:hint="eastAsia" w:ascii="宋体" w:hAnsi="宋体" w:cs="宋体"/>
          <w:sz w:val="24"/>
          <w:szCs w:val="24"/>
        </w:rPr>
        <w:t>6.2.2招标人以书面形式向中标人发出中标通知书。</w:t>
      </w:r>
      <w:bookmarkEnd w:id="19"/>
    </w:p>
    <w:p>
      <w:pPr>
        <w:spacing w:line="440" w:lineRule="exact"/>
        <w:ind w:firstLine="463" w:firstLineChars="192"/>
        <w:rPr>
          <w:rFonts w:hint="eastAsia" w:ascii="宋体" w:hAnsi="宋体" w:cs="宋体"/>
          <w:b/>
          <w:bCs/>
          <w:sz w:val="24"/>
          <w:szCs w:val="24"/>
        </w:rPr>
      </w:pPr>
      <w:bookmarkStart w:id="20" w:name="_Toc438822075"/>
      <w:bookmarkStart w:id="21" w:name="_Toc438561265"/>
      <w:r>
        <w:rPr>
          <w:rFonts w:hint="eastAsia" w:ascii="宋体" w:hAnsi="宋体" w:cs="宋体"/>
          <w:b/>
          <w:bCs/>
          <w:sz w:val="24"/>
          <w:szCs w:val="24"/>
        </w:rPr>
        <w:t>6.3履约担保</w:t>
      </w:r>
      <w:bookmarkEnd w:id="20"/>
      <w:bookmarkEnd w:id="21"/>
    </w:p>
    <w:p>
      <w:pPr>
        <w:spacing w:line="440" w:lineRule="exact"/>
        <w:ind w:firstLine="460" w:firstLineChars="192"/>
        <w:rPr>
          <w:rFonts w:hint="eastAsia" w:ascii="宋体" w:hAnsi="宋体" w:cs="宋体"/>
          <w:sz w:val="24"/>
          <w:szCs w:val="24"/>
        </w:rPr>
      </w:pPr>
      <w:r>
        <w:rPr>
          <w:rFonts w:hint="eastAsia" w:ascii="宋体" w:hAnsi="宋体" w:cs="宋体"/>
          <w:sz w:val="24"/>
          <w:szCs w:val="24"/>
        </w:rPr>
        <w:t>6.3.1在签订合同前，中标人应按投标人须知前附表规定的担保形式和金额向招标人提交。</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6.3.2中标人不能按本章第6.3.1条要求提交担保的，视为放弃中标，其投标保证金不予退还，给招标人造成的损失超过投标保证金数额的，中标人还应当对超过部分予以赔偿。</w:t>
      </w:r>
    </w:p>
    <w:p>
      <w:pPr>
        <w:spacing w:line="440" w:lineRule="exact"/>
        <w:ind w:firstLine="463" w:firstLineChars="192"/>
        <w:rPr>
          <w:rFonts w:hint="eastAsia" w:ascii="宋体" w:hAnsi="宋体" w:cs="宋体"/>
          <w:b/>
          <w:bCs/>
          <w:sz w:val="24"/>
          <w:szCs w:val="24"/>
        </w:rPr>
      </w:pPr>
      <w:bookmarkStart w:id="22" w:name="_Toc438822076"/>
      <w:bookmarkStart w:id="23" w:name="_Toc438561266"/>
      <w:bookmarkStart w:id="24" w:name="_Toc179632588"/>
      <w:bookmarkStart w:id="25" w:name="_Toc152045570"/>
      <w:bookmarkStart w:id="26" w:name="_Toc152042346"/>
      <w:bookmarkStart w:id="27" w:name="_Toc144974538"/>
      <w:r>
        <w:rPr>
          <w:rFonts w:hint="eastAsia" w:ascii="宋体" w:hAnsi="宋体" w:cs="宋体"/>
          <w:b/>
          <w:bCs/>
          <w:sz w:val="24"/>
          <w:szCs w:val="24"/>
        </w:rPr>
        <w:t>6.4签订合同</w:t>
      </w:r>
      <w:bookmarkEnd w:id="22"/>
      <w:bookmarkEnd w:id="23"/>
      <w:bookmarkEnd w:id="24"/>
      <w:bookmarkEnd w:id="25"/>
      <w:bookmarkEnd w:id="26"/>
      <w:bookmarkEnd w:id="27"/>
    </w:p>
    <w:p>
      <w:pPr>
        <w:spacing w:line="440" w:lineRule="exact"/>
        <w:ind w:firstLine="460" w:firstLineChars="192"/>
        <w:rPr>
          <w:rFonts w:hint="eastAsia" w:ascii="宋体" w:hAnsi="宋体" w:cs="宋体"/>
          <w:sz w:val="24"/>
          <w:szCs w:val="24"/>
        </w:rPr>
      </w:pPr>
      <w:r>
        <w:rPr>
          <w:rFonts w:hint="eastAsia" w:ascii="宋体" w:hAnsi="宋体" w:cs="宋体"/>
          <w:sz w:val="24"/>
          <w:szCs w:val="24"/>
        </w:rPr>
        <w:t xml:space="preserve">6.4.1招标人与中标人将于中标通知书发出之日起30日内，按照招标文件和中标人的投标文件订立书面合同，招标人和中标人不得再行订立背离合同实质性内容的其他协议。中标人不在中标通知书规定的时间（以中标通知书上时间为准）内与招标人签订合同的，招标人有权取消其中标资格，并没收其投标保证金，给招标人造成的损失超过投标保证金数额的，中标人还应当对超过部分予以赔偿。招标文件、中标人的投标文件及澄清文件等，均作为合同的附件。 </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6.4.2发出中标通知书后，招标人无正当理由拒签合同的，招标人向中标人退还投标保证金；给中标人造成损失的，还应当赔偿损失。</w:t>
      </w:r>
    </w:p>
    <w:p>
      <w:pPr>
        <w:spacing w:line="440" w:lineRule="exact"/>
        <w:ind w:firstLine="463" w:firstLineChars="192"/>
        <w:rPr>
          <w:rFonts w:hint="eastAsia" w:ascii="宋体" w:hAnsi="宋体" w:cs="宋体"/>
          <w:b/>
          <w:bCs/>
          <w:sz w:val="24"/>
          <w:szCs w:val="24"/>
        </w:rPr>
      </w:pPr>
      <w:bookmarkStart w:id="28" w:name="_Toc438481195"/>
      <w:bookmarkStart w:id="29" w:name="_Toc438419602"/>
      <w:bookmarkStart w:id="30" w:name="_Toc179632597"/>
      <w:bookmarkStart w:id="31" w:name="_Toc152045579"/>
      <w:bookmarkStart w:id="32" w:name="_Toc152042356"/>
      <w:r>
        <w:rPr>
          <w:rFonts w:hint="eastAsia" w:ascii="宋体" w:hAnsi="宋体" w:cs="宋体"/>
          <w:b/>
          <w:bCs/>
          <w:sz w:val="24"/>
          <w:szCs w:val="24"/>
        </w:rPr>
        <w:t>6.5异议、投诉</w:t>
      </w:r>
      <w:bookmarkEnd w:id="28"/>
      <w:bookmarkEnd w:id="29"/>
    </w:p>
    <w:bookmarkEnd w:id="30"/>
    <w:bookmarkEnd w:id="31"/>
    <w:bookmarkEnd w:id="32"/>
    <w:p>
      <w:pPr>
        <w:spacing w:line="440" w:lineRule="exact"/>
        <w:ind w:firstLine="460" w:firstLineChars="192"/>
        <w:rPr>
          <w:rFonts w:hint="eastAsia" w:ascii="宋体" w:hAnsi="宋体" w:cs="宋体"/>
          <w:sz w:val="24"/>
          <w:szCs w:val="24"/>
        </w:rPr>
      </w:pPr>
      <w:bookmarkStart w:id="33" w:name="_Toc144974547"/>
      <w:bookmarkStart w:id="34" w:name="_Toc438481196"/>
      <w:bookmarkStart w:id="35" w:name="_Toc438419603"/>
      <w:bookmarkStart w:id="36" w:name="_Toc179632598"/>
      <w:bookmarkStart w:id="37" w:name="_Toc152045580"/>
      <w:bookmarkStart w:id="38" w:name="_Toc152042357"/>
      <w:r>
        <w:rPr>
          <w:rFonts w:hint="eastAsia" w:ascii="宋体" w:hAnsi="宋体" w:cs="宋体"/>
          <w:sz w:val="24"/>
          <w:szCs w:val="24"/>
        </w:rPr>
        <w:t>6.5.1受理异议（质疑）的联系方式。</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招标代理机构：</w:t>
      </w:r>
      <w:r>
        <w:rPr>
          <w:rFonts w:hint="eastAsia" w:ascii="宋体" w:hAnsi="宋体" w:cs="宋体"/>
          <w:sz w:val="24"/>
          <w:szCs w:val="24"/>
          <w:u w:val="single"/>
        </w:rPr>
        <w:t>安徽洋航项目管理有限公司</w:t>
      </w:r>
      <w:r>
        <w:rPr>
          <w:rFonts w:ascii="宋体" w:hAnsi="宋体" w:cs="宋体"/>
          <w:sz w:val="24"/>
          <w:szCs w:val="24"/>
          <w:u w:val="single"/>
        </w:rPr>
        <w:tab/>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地址：阜阳市</w:t>
      </w:r>
      <w:r>
        <w:rPr>
          <w:rFonts w:hint="eastAsia" w:ascii="宋体" w:hAnsi="宋体" w:cs="宋体"/>
          <w:sz w:val="24"/>
          <w:szCs w:val="24"/>
          <w:lang w:eastAsia="zh-CN"/>
        </w:rPr>
        <w:t>颍州区一道河路</w:t>
      </w:r>
      <w:r>
        <w:rPr>
          <w:rFonts w:hint="eastAsia" w:ascii="宋体" w:hAnsi="宋体" w:cs="宋体"/>
          <w:sz w:val="24"/>
          <w:szCs w:val="24"/>
        </w:rPr>
        <w:t>天马大厦</w:t>
      </w:r>
      <w:r>
        <w:rPr>
          <w:rFonts w:hint="eastAsia" w:ascii="宋体" w:hAnsi="宋体" w:cs="宋体"/>
          <w:sz w:val="24"/>
          <w:szCs w:val="24"/>
          <w:lang w:val="en-US" w:eastAsia="zh-CN"/>
        </w:rPr>
        <w:t>23</w:t>
      </w:r>
      <w:r>
        <w:rPr>
          <w:rFonts w:hint="eastAsia" w:ascii="宋体" w:hAnsi="宋体" w:cs="宋体"/>
          <w:sz w:val="24"/>
          <w:szCs w:val="24"/>
        </w:rPr>
        <w:t>楼</w:t>
      </w:r>
      <w:r>
        <w:rPr>
          <w:rFonts w:hint="eastAsia" w:ascii="宋体" w:hAnsi="宋体" w:cs="宋体"/>
          <w:sz w:val="24"/>
          <w:szCs w:val="24"/>
          <w:lang w:val="en-US" w:eastAsia="zh-CN"/>
        </w:rPr>
        <w:t>23</w:t>
      </w:r>
      <w:r>
        <w:rPr>
          <w:rFonts w:ascii="宋体" w:hAnsi="宋体" w:cs="宋体"/>
          <w:sz w:val="24"/>
          <w:szCs w:val="24"/>
        </w:rPr>
        <w:t>1</w:t>
      </w:r>
      <w:r>
        <w:rPr>
          <w:rFonts w:hint="eastAsia" w:ascii="宋体" w:hAnsi="宋体" w:cs="宋体"/>
          <w:sz w:val="24"/>
          <w:szCs w:val="24"/>
          <w:lang w:val="en-US" w:eastAsia="zh-CN"/>
        </w:rPr>
        <w:t>6</w:t>
      </w:r>
      <w:r>
        <w:rPr>
          <w:rFonts w:hint="eastAsia" w:ascii="宋体" w:hAnsi="宋体" w:cs="宋体"/>
          <w:sz w:val="24"/>
          <w:szCs w:val="24"/>
        </w:rPr>
        <w:t>室</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联系人：李工</w:t>
      </w:r>
    </w:p>
    <w:p>
      <w:pPr>
        <w:spacing w:line="440" w:lineRule="exact"/>
        <w:ind w:firstLine="460" w:firstLineChars="192"/>
        <w:rPr>
          <w:rFonts w:hint="default" w:ascii="宋体" w:hAnsi="宋体" w:eastAsia="宋体" w:cs="宋体"/>
          <w:sz w:val="24"/>
          <w:szCs w:val="24"/>
          <w:lang w:val="en-US" w:eastAsia="zh-CN"/>
        </w:rPr>
      </w:pPr>
      <w:r>
        <w:rPr>
          <w:rFonts w:hint="eastAsia" w:ascii="宋体" w:hAnsi="宋体" w:cs="宋体"/>
          <w:sz w:val="24"/>
          <w:szCs w:val="24"/>
        </w:rPr>
        <w:t>电话：</w:t>
      </w:r>
      <w:r>
        <w:rPr>
          <w:rFonts w:hint="eastAsia" w:ascii="宋体" w:hAnsi="宋体" w:cs="宋体"/>
          <w:sz w:val="24"/>
          <w:szCs w:val="24"/>
          <w:lang w:val="en-US" w:eastAsia="zh-CN"/>
        </w:rPr>
        <w:t>18269989958</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方式：书面送达形式</w:t>
      </w:r>
    </w:p>
    <w:p>
      <w:pPr>
        <w:widowControl/>
        <w:adjustRightInd w:val="0"/>
        <w:snapToGrid w:val="0"/>
        <w:spacing w:line="360" w:lineRule="auto"/>
        <w:ind w:firstLine="480"/>
        <w:jc w:val="left"/>
        <w:rPr>
          <w:rFonts w:hint="eastAsia"/>
        </w:rPr>
      </w:pPr>
      <w:r>
        <w:rPr>
          <w:rFonts w:hint="eastAsia" w:ascii="宋体" w:hAnsi="宋体" w:cs="宋体"/>
          <w:sz w:val="24"/>
          <w:szCs w:val="24"/>
        </w:rPr>
        <w:t>6.5.2对招标文件的异议（质疑）。</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投标人未在本招标文件规定的时间内提出澄清要求的，视为其对本招标文件无异议（质疑），相关部门依法不予受理。</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6.5.3对开标过程提出异议（质疑）的，应于开标现场提出。</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6.5.4对评标结果的异议（质疑）。</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6.5.4.1招标投标相关各方对评标结果有异议（质疑），应在公示期内以书面形式向招标人、代理机构或监督管理部门提出。</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6.5.4.2书面异议（质疑）材料应当包括以下内容：</w:t>
      </w:r>
    </w:p>
    <w:p>
      <w:pPr>
        <w:numPr>
          <w:ilvl w:val="0"/>
          <w:numId w:val="3"/>
        </w:numPr>
        <w:spacing w:line="440" w:lineRule="exact"/>
        <w:ind w:firstLine="460" w:firstLineChars="192"/>
        <w:rPr>
          <w:rFonts w:hint="eastAsia" w:ascii="宋体" w:hAnsi="宋体" w:cs="宋体"/>
          <w:sz w:val="24"/>
          <w:szCs w:val="24"/>
        </w:rPr>
      </w:pPr>
      <w:r>
        <w:rPr>
          <w:rFonts w:hint="eastAsia" w:ascii="宋体" w:hAnsi="宋体" w:cs="宋体"/>
          <w:sz w:val="24"/>
          <w:szCs w:val="24"/>
        </w:rPr>
        <w:t>提出异议（质疑）的投标人的名称、地址及有效联系方式；</w:t>
      </w:r>
    </w:p>
    <w:p>
      <w:pPr>
        <w:numPr>
          <w:ilvl w:val="0"/>
          <w:numId w:val="3"/>
        </w:numPr>
        <w:spacing w:line="440" w:lineRule="exact"/>
        <w:ind w:firstLine="460" w:firstLineChars="192"/>
        <w:rPr>
          <w:rFonts w:hint="eastAsia" w:ascii="宋体" w:hAnsi="宋体" w:cs="宋体"/>
          <w:sz w:val="24"/>
          <w:szCs w:val="24"/>
        </w:rPr>
      </w:pPr>
      <w:r>
        <w:rPr>
          <w:rFonts w:hint="eastAsia" w:ascii="宋体" w:hAnsi="宋体" w:cs="宋体"/>
          <w:sz w:val="24"/>
          <w:szCs w:val="24"/>
        </w:rPr>
        <w:t>异议（质疑）对象的投标人的名称；</w:t>
      </w:r>
    </w:p>
    <w:p>
      <w:pPr>
        <w:numPr>
          <w:ilvl w:val="0"/>
          <w:numId w:val="3"/>
        </w:numPr>
        <w:spacing w:line="440" w:lineRule="exact"/>
        <w:ind w:firstLine="460" w:firstLineChars="192"/>
        <w:rPr>
          <w:rFonts w:hint="eastAsia" w:ascii="宋体" w:hAnsi="宋体" w:cs="宋体"/>
          <w:sz w:val="24"/>
          <w:szCs w:val="24"/>
        </w:rPr>
      </w:pPr>
      <w:r>
        <w:rPr>
          <w:rFonts w:hint="eastAsia" w:ascii="宋体" w:hAnsi="宋体" w:cs="宋体"/>
          <w:sz w:val="24"/>
          <w:szCs w:val="24"/>
        </w:rPr>
        <w:t>异议（质疑）事项的基本事实；</w:t>
      </w:r>
    </w:p>
    <w:p>
      <w:pPr>
        <w:numPr>
          <w:ilvl w:val="0"/>
          <w:numId w:val="3"/>
        </w:numPr>
        <w:spacing w:line="440" w:lineRule="exact"/>
        <w:ind w:firstLine="460" w:firstLineChars="192"/>
        <w:rPr>
          <w:rFonts w:hint="eastAsia" w:ascii="宋体" w:hAnsi="宋体" w:cs="宋体"/>
          <w:sz w:val="24"/>
          <w:szCs w:val="24"/>
        </w:rPr>
      </w:pPr>
      <w:r>
        <w:rPr>
          <w:rFonts w:hint="eastAsia" w:ascii="宋体" w:hAnsi="宋体" w:cs="宋体"/>
          <w:sz w:val="24"/>
          <w:szCs w:val="24"/>
        </w:rPr>
        <w:t>相关请求和主张；</w:t>
      </w:r>
    </w:p>
    <w:p>
      <w:pPr>
        <w:numPr>
          <w:ilvl w:val="0"/>
          <w:numId w:val="3"/>
        </w:numPr>
        <w:spacing w:line="440" w:lineRule="exact"/>
        <w:ind w:firstLine="460" w:firstLineChars="192"/>
        <w:rPr>
          <w:rFonts w:hint="eastAsia" w:ascii="宋体" w:hAnsi="宋体" w:cs="宋体"/>
          <w:sz w:val="24"/>
          <w:szCs w:val="24"/>
        </w:rPr>
      </w:pPr>
      <w:r>
        <w:rPr>
          <w:rFonts w:hint="eastAsia" w:ascii="宋体" w:hAnsi="宋体" w:cs="宋体"/>
          <w:sz w:val="24"/>
          <w:szCs w:val="24"/>
        </w:rPr>
        <w:t>有效线索和相关证明材料；</w:t>
      </w:r>
    </w:p>
    <w:p>
      <w:pPr>
        <w:numPr>
          <w:ilvl w:val="0"/>
          <w:numId w:val="3"/>
        </w:numPr>
        <w:spacing w:line="440" w:lineRule="exact"/>
        <w:ind w:firstLine="460" w:firstLineChars="192"/>
        <w:rPr>
          <w:rFonts w:hint="eastAsia" w:ascii="宋体" w:hAnsi="宋体" w:cs="宋体"/>
          <w:sz w:val="24"/>
          <w:szCs w:val="24"/>
        </w:rPr>
      </w:pPr>
      <w:r>
        <w:rPr>
          <w:rFonts w:hint="eastAsia" w:ascii="宋体" w:hAnsi="宋体" w:cs="宋体"/>
          <w:sz w:val="24"/>
          <w:szCs w:val="24"/>
        </w:rPr>
        <w:t>提出异议（质疑）的投标人是法人的，异议（质疑）材料必须由其法定代表人签字并加盖单位公章，并附法定代表人及其委托联系人的有效身份证明复印件、注明联系方式；其他组织或者自然人提出异议（质疑）的，异议（质疑）材料必须由其主要负责人签字（有公章的须单位加盖公章），并附主要负责人及其委托联系人的有效身份证明复印件、注明联系方式。异议（质疑）有关材料是外文的，应当同时提供其中文译本。</w:t>
      </w:r>
    </w:p>
    <w:p>
      <w:pPr>
        <w:spacing w:line="440" w:lineRule="exact"/>
        <w:ind w:firstLine="460" w:firstLineChars="192"/>
        <w:rPr>
          <w:rFonts w:hint="eastAsia" w:ascii="宋体" w:hAnsi="宋体" w:cs="宋体"/>
          <w:sz w:val="24"/>
          <w:szCs w:val="24"/>
        </w:rPr>
      </w:pPr>
      <w:r>
        <w:rPr>
          <w:rFonts w:hint="eastAsia" w:ascii="宋体" w:hAnsi="宋体" w:cs="宋体"/>
          <w:sz w:val="24"/>
          <w:szCs w:val="24"/>
        </w:rPr>
        <w:t>6.5.4.3有下列情形的异议（质疑）材料不予受理：</w:t>
      </w:r>
    </w:p>
    <w:p>
      <w:pPr>
        <w:numPr>
          <w:ilvl w:val="0"/>
          <w:numId w:val="4"/>
        </w:numPr>
        <w:spacing w:line="440" w:lineRule="exact"/>
        <w:ind w:firstLine="460" w:firstLineChars="192"/>
        <w:rPr>
          <w:rFonts w:hint="eastAsia" w:ascii="宋体" w:hAnsi="宋体" w:cs="宋体"/>
          <w:sz w:val="24"/>
          <w:szCs w:val="24"/>
        </w:rPr>
      </w:pPr>
      <w:r>
        <w:rPr>
          <w:rFonts w:hint="eastAsia" w:ascii="宋体" w:hAnsi="宋体" w:cs="宋体"/>
          <w:sz w:val="24"/>
          <w:szCs w:val="24"/>
        </w:rPr>
        <w:t>书面异议（质疑）材料不完整的；</w:t>
      </w:r>
    </w:p>
    <w:p>
      <w:pPr>
        <w:numPr>
          <w:ilvl w:val="0"/>
          <w:numId w:val="4"/>
        </w:numPr>
        <w:spacing w:line="440" w:lineRule="exact"/>
        <w:ind w:firstLine="460" w:firstLineChars="192"/>
        <w:rPr>
          <w:rFonts w:hint="eastAsia" w:ascii="宋体" w:hAnsi="宋体" w:cs="宋体"/>
          <w:sz w:val="24"/>
          <w:szCs w:val="24"/>
        </w:rPr>
      </w:pPr>
      <w:r>
        <w:rPr>
          <w:rFonts w:hint="eastAsia" w:ascii="宋体" w:hAnsi="宋体" w:cs="宋体"/>
          <w:sz w:val="24"/>
          <w:szCs w:val="24"/>
        </w:rPr>
        <w:t>异议（质疑）事项含有主观猜测等内容且无充分有效证据的；</w:t>
      </w:r>
    </w:p>
    <w:p>
      <w:pPr>
        <w:numPr>
          <w:ilvl w:val="0"/>
          <w:numId w:val="4"/>
        </w:numPr>
        <w:spacing w:line="440" w:lineRule="exact"/>
        <w:ind w:firstLine="460" w:firstLineChars="192"/>
        <w:rPr>
          <w:rFonts w:hint="eastAsia" w:ascii="宋体" w:hAnsi="宋体" w:cs="宋体"/>
          <w:sz w:val="24"/>
          <w:szCs w:val="24"/>
        </w:rPr>
      </w:pPr>
      <w:r>
        <w:rPr>
          <w:rFonts w:hint="eastAsia" w:ascii="宋体" w:hAnsi="宋体" w:cs="宋体"/>
          <w:sz w:val="24"/>
          <w:szCs w:val="24"/>
        </w:rPr>
        <w:t>对其他投标人的投标文件详细内容异议（质疑），无法提供合法来源渠道的；</w:t>
      </w:r>
    </w:p>
    <w:p>
      <w:pPr>
        <w:numPr>
          <w:ilvl w:val="0"/>
          <w:numId w:val="4"/>
        </w:numPr>
        <w:spacing w:line="440" w:lineRule="exact"/>
        <w:ind w:firstLine="460" w:firstLineChars="192"/>
        <w:rPr>
          <w:rFonts w:hint="eastAsia" w:ascii="宋体" w:hAnsi="宋体" w:cs="宋体"/>
          <w:sz w:val="24"/>
          <w:szCs w:val="24"/>
        </w:rPr>
      </w:pPr>
      <w:r>
        <w:rPr>
          <w:rFonts w:hint="eastAsia" w:ascii="宋体" w:hAnsi="宋体" w:cs="宋体"/>
          <w:sz w:val="24"/>
          <w:szCs w:val="24"/>
        </w:rPr>
        <w:t>违反相关法律法规的。</w:t>
      </w:r>
    </w:p>
    <w:bookmarkEnd w:id="33"/>
    <w:bookmarkEnd w:id="34"/>
    <w:bookmarkEnd w:id="35"/>
    <w:bookmarkEnd w:id="36"/>
    <w:bookmarkEnd w:id="37"/>
    <w:bookmarkEnd w:id="38"/>
    <w:p>
      <w:pPr>
        <w:spacing w:line="440" w:lineRule="exact"/>
        <w:ind w:firstLine="460" w:firstLineChars="192"/>
        <w:rPr>
          <w:rFonts w:hint="eastAsia" w:ascii="宋体" w:hAnsi="宋体" w:cs="宋体"/>
          <w:sz w:val="24"/>
          <w:szCs w:val="24"/>
        </w:rPr>
      </w:pPr>
      <w:r>
        <w:rPr>
          <w:rFonts w:hint="eastAsia" w:ascii="宋体" w:hAnsi="宋体" w:cs="宋体"/>
          <w:sz w:val="24"/>
          <w:szCs w:val="24"/>
        </w:rPr>
        <w:t>6.5.5投诉人有下列情形之一的，属于虚假、恶意投诉，监督管理部门将驳回投诉，将其列入不良行为记录名单，并在相关网络平台公告，同时将报请行政监管部门处理：</w:t>
      </w:r>
    </w:p>
    <w:p>
      <w:pPr>
        <w:numPr>
          <w:ilvl w:val="0"/>
          <w:numId w:val="5"/>
        </w:numPr>
        <w:spacing w:line="440" w:lineRule="exact"/>
        <w:ind w:firstLine="480" w:firstLineChars="200"/>
        <w:rPr>
          <w:rFonts w:hint="eastAsia" w:ascii="宋体" w:hAnsi="宋体" w:cs="宋体"/>
          <w:sz w:val="24"/>
          <w:szCs w:val="24"/>
        </w:rPr>
      </w:pPr>
      <w:r>
        <w:rPr>
          <w:rFonts w:hint="eastAsia" w:ascii="宋体" w:hAnsi="宋体" w:cs="宋体"/>
          <w:sz w:val="24"/>
          <w:szCs w:val="24"/>
        </w:rPr>
        <w:t>一年内三次以上投诉均查无实据的；</w:t>
      </w:r>
    </w:p>
    <w:p>
      <w:pPr>
        <w:numPr>
          <w:ilvl w:val="0"/>
          <w:numId w:val="5"/>
        </w:numPr>
        <w:spacing w:line="440" w:lineRule="exact"/>
        <w:ind w:firstLine="480" w:firstLineChars="200"/>
        <w:rPr>
          <w:rFonts w:hint="eastAsia" w:ascii="宋体" w:hAnsi="宋体" w:cs="宋体"/>
          <w:sz w:val="24"/>
          <w:szCs w:val="24"/>
        </w:rPr>
      </w:pPr>
      <w:r>
        <w:rPr>
          <w:rFonts w:hint="eastAsia" w:ascii="宋体" w:hAnsi="宋体" w:cs="宋体"/>
          <w:sz w:val="24"/>
          <w:szCs w:val="24"/>
        </w:rPr>
        <w:t>捏造事实或者提供虚假投诉材料的。</w:t>
      </w:r>
    </w:p>
    <w:p>
      <w:pPr>
        <w:pStyle w:val="3"/>
        <w:numPr>
          <w:ilvl w:val="0"/>
          <w:numId w:val="0"/>
        </w:numPr>
        <w:tabs>
          <w:tab w:val="left" w:pos="1155"/>
        </w:tabs>
        <w:rPr>
          <w:rFonts w:hint="eastAsia" w:ascii="宋体" w:hAnsi="宋体" w:cs="宋体"/>
          <w:b/>
          <w:bCs/>
          <w:sz w:val="32"/>
          <w:szCs w:val="32"/>
          <w:lang w:val="en-US" w:eastAsia="zh-CN"/>
        </w:rPr>
      </w:pPr>
    </w:p>
    <w:p>
      <w:pPr>
        <w:rPr>
          <w:rFonts w:hint="eastAsia" w:ascii="宋体" w:hAnsi="宋体" w:cs="宋体"/>
          <w:b/>
          <w:bCs/>
          <w:sz w:val="32"/>
          <w:szCs w:val="32"/>
          <w:lang w:val="en-US" w:eastAsia="zh-CN"/>
        </w:rPr>
      </w:pPr>
    </w:p>
    <w:p>
      <w:pPr>
        <w:pStyle w:val="16"/>
        <w:rPr>
          <w:rFonts w:hint="eastAsia" w:ascii="宋体" w:hAnsi="宋体" w:cs="宋体"/>
          <w:b/>
          <w:bCs/>
          <w:sz w:val="32"/>
          <w:szCs w:val="32"/>
          <w:lang w:val="en-US" w:eastAsia="zh-CN"/>
        </w:rPr>
      </w:pPr>
    </w:p>
    <w:p>
      <w:pPr>
        <w:pStyle w:val="16"/>
        <w:rPr>
          <w:rFonts w:hint="eastAsia" w:ascii="宋体" w:hAnsi="宋体" w:cs="宋体"/>
          <w:b/>
          <w:bCs/>
          <w:sz w:val="32"/>
          <w:szCs w:val="32"/>
          <w:lang w:val="en-US" w:eastAsia="zh-CN"/>
        </w:rPr>
      </w:pPr>
    </w:p>
    <w:p>
      <w:pPr>
        <w:pStyle w:val="16"/>
        <w:rPr>
          <w:rFonts w:hint="eastAsia" w:ascii="宋体" w:hAnsi="宋体" w:cs="宋体"/>
          <w:b/>
          <w:bCs/>
          <w:sz w:val="32"/>
          <w:szCs w:val="32"/>
          <w:lang w:val="en-US" w:eastAsia="zh-CN"/>
        </w:rPr>
      </w:pPr>
    </w:p>
    <w:p>
      <w:pPr>
        <w:pStyle w:val="3"/>
        <w:numPr>
          <w:ilvl w:val="0"/>
          <w:numId w:val="0"/>
        </w:numPr>
        <w:tabs>
          <w:tab w:val="left" w:pos="1155"/>
        </w:tabs>
        <w:ind w:left="1470" w:firstLine="1767" w:firstLineChars="550"/>
        <w:rPr>
          <w:rFonts w:hint="eastAsia" w:ascii="宋体" w:hAnsi="宋体" w:eastAsia="宋体" w:cs="宋体"/>
          <w:b/>
          <w:bCs/>
          <w:sz w:val="32"/>
          <w:szCs w:val="32"/>
        </w:rPr>
      </w:pPr>
      <w:r>
        <w:rPr>
          <w:rFonts w:hint="eastAsia" w:ascii="宋体" w:hAnsi="宋体" w:cs="宋体"/>
          <w:b/>
          <w:bCs/>
          <w:sz w:val="32"/>
          <w:szCs w:val="32"/>
          <w:lang w:eastAsia="zh-CN"/>
        </w:rPr>
        <w:t>第三章、</w:t>
      </w:r>
      <w:r>
        <w:rPr>
          <w:rFonts w:hint="eastAsia" w:ascii="宋体" w:hAnsi="宋体" w:eastAsia="宋体" w:cs="宋体"/>
          <w:b/>
          <w:bCs/>
          <w:sz w:val="32"/>
          <w:szCs w:val="32"/>
        </w:rPr>
        <w:t>招标需求及技术要求</w:t>
      </w:r>
    </w:p>
    <w:p>
      <w:pPr>
        <w:tabs>
          <w:tab w:val="center" w:pos="4154"/>
          <w:tab w:val="left" w:pos="6525"/>
        </w:tabs>
        <w:jc w:val="center"/>
        <w:rPr>
          <w:rFonts w:hint="eastAsia" w:ascii="宋体" w:hAnsi="宋体" w:cs="宋体"/>
          <w:b/>
          <w:bCs/>
          <w:sz w:val="28"/>
          <w:szCs w:val="28"/>
        </w:rPr>
      </w:pPr>
      <w:r>
        <w:rPr>
          <w:rFonts w:hint="eastAsia" w:ascii="宋体" w:hAnsi="宋体" w:cs="宋体"/>
          <w:b/>
          <w:bCs/>
          <w:sz w:val="28"/>
          <w:szCs w:val="28"/>
        </w:rPr>
        <w:t>（一）技术要求</w:t>
      </w:r>
    </w:p>
    <w:p>
      <w:pPr>
        <w:autoSpaceDN w:val="0"/>
        <w:spacing w:line="440" w:lineRule="exact"/>
        <w:ind w:firstLine="463" w:firstLineChars="192"/>
        <w:rPr>
          <w:rFonts w:hint="eastAsia" w:ascii="宋体" w:hAnsi="宋体" w:cs="宋体"/>
          <w:b/>
          <w:bCs/>
          <w:sz w:val="24"/>
          <w:szCs w:val="24"/>
        </w:rPr>
      </w:pPr>
      <w:r>
        <w:rPr>
          <w:rFonts w:hint="eastAsia" w:ascii="宋体" w:hAnsi="宋体" w:cs="宋体"/>
          <w:b/>
          <w:bCs/>
          <w:sz w:val="24"/>
          <w:szCs w:val="24"/>
        </w:rPr>
        <w:t>2.1 项目概况</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sz w:val="24"/>
          <w:szCs w:val="24"/>
        </w:rPr>
      </w:pPr>
      <w:r>
        <w:rPr>
          <w:rFonts w:hint="eastAsia" w:ascii="宋体" w:hAnsi="宋体" w:eastAsia="宋体" w:cs="宋体"/>
          <w:b/>
          <w:bCs/>
          <w:sz w:val="24"/>
          <w:szCs w:val="24"/>
        </w:rPr>
        <w:t>项目概况：</w:t>
      </w:r>
      <w:r>
        <w:rPr>
          <w:rFonts w:hint="eastAsia" w:ascii="新宋体" w:hAnsi="新宋体" w:eastAsia="新宋体" w:cs="新宋体"/>
          <w:color w:val="000000"/>
          <w:sz w:val="24"/>
          <w:szCs w:val="24"/>
          <w:shd w:val="clear" w:fill="FFFFFF"/>
        </w:rPr>
        <w:t>建筑面积参数：项目总占地面积12266.67平方米，总建筑面积147407.80平方米，住宅102313.84平方米，商业2942.29平方米，机动车车位1180个，地面停车位214个，地下停车858个，充电车位108个，物业管理用房444.03平方米</w:t>
      </w:r>
      <w:r>
        <w:rPr>
          <w:rFonts w:hint="eastAsia" w:ascii="新宋体" w:hAnsi="新宋体" w:eastAsia="新宋体" w:cs="新宋体"/>
          <w:sz w:val="24"/>
          <w:szCs w:val="24"/>
          <w:highlight w:val="none"/>
          <w:lang w:val="en-US" w:eastAsia="zh-CN"/>
        </w:rPr>
        <w:t>。以上数据按照主管部门最终确认为准</w:t>
      </w:r>
      <w:r>
        <w:rPr>
          <w:rFonts w:hint="eastAsia" w:ascii="宋体" w:hAnsi="宋体" w:cs="宋体"/>
          <w:sz w:val="24"/>
          <w:szCs w:val="22"/>
          <w:shd w:val="clear" w:color="auto" w:fill="auto"/>
          <w:lang w:val="en-US" w:eastAsia="zh-CN"/>
        </w:rPr>
        <w:t>，。</w:t>
      </w:r>
    </w:p>
    <w:p>
      <w:pPr>
        <w:pStyle w:val="16"/>
        <w:spacing w:line="440" w:lineRule="exact"/>
        <w:ind w:left="0" w:firstLine="482"/>
        <w:rPr>
          <w:rFonts w:hint="eastAsia" w:ascii="宋体" w:hAnsi="宋体" w:cs="宋体"/>
          <w:b/>
          <w:bCs/>
          <w:sz w:val="24"/>
          <w:szCs w:val="24"/>
        </w:rPr>
      </w:pPr>
      <w:r>
        <w:rPr>
          <w:rFonts w:hint="eastAsia" w:ascii="宋体" w:hAnsi="宋体" w:cs="宋体"/>
          <w:b/>
          <w:bCs/>
          <w:sz w:val="24"/>
          <w:szCs w:val="24"/>
        </w:rPr>
        <w:t>2.2 招标内容</w:t>
      </w:r>
    </w:p>
    <w:p>
      <w:pPr>
        <w:spacing w:line="440" w:lineRule="exact"/>
        <w:ind w:firstLine="480" w:firstLineChars="200"/>
        <w:rPr>
          <w:rFonts w:hint="eastAsia" w:ascii="宋体" w:hAnsi="宋体" w:cs="宋体"/>
          <w:kern w:val="0"/>
          <w:sz w:val="24"/>
          <w:szCs w:val="24"/>
        </w:rPr>
      </w:pPr>
      <w:r>
        <w:rPr>
          <w:rFonts w:hint="eastAsia" w:ascii="宋体" w:hAnsi="宋体" w:cs="宋体"/>
          <w:sz w:val="24"/>
          <w:szCs w:val="24"/>
        </w:rPr>
        <w:t>2.2.1</w:t>
      </w:r>
      <w:r>
        <w:rPr>
          <w:rFonts w:hint="eastAsia" w:ascii="宋体" w:hAnsi="宋体" w:cs="宋体"/>
          <w:kern w:val="0"/>
          <w:sz w:val="24"/>
          <w:szCs w:val="24"/>
          <w:lang w:eastAsia="zh-CN"/>
        </w:rPr>
        <w:t>阜阳市颍泉区金马爱梦天宸前期物业管理项目</w:t>
      </w:r>
      <w:r>
        <w:rPr>
          <w:rFonts w:hint="eastAsia" w:ascii="宋体" w:hAnsi="宋体" w:cs="宋体"/>
          <w:kern w:val="0"/>
          <w:sz w:val="24"/>
          <w:szCs w:val="24"/>
        </w:rPr>
        <w:t>，服务期限</w:t>
      </w:r>
      <w:r>
        <w:rPr>
          <w:rFonts w:hint="eastAsia" w:ascii="宋体" w:hAnsi="宋体" w:eastAsia="宋体" w:cs="宋体"/>
          <w:color w:val="auto"/>
          <w:kern w:val="2"/>
          <w:sz w:val="24"/>
          <w:szCs w:val="22"/>
          <w:shd w:val="clear" w:color="auto" w:fill="auto"/>
          <w:lang w:val="en-US" w:eastAsia="zh-CN" w:bidi="ar-SA"/>
        </w:rPr>
        <w:t>三年，若前期物业合同到期后，业委会未成立，则前期物业服务合同顺延至业委会成立并选聘新的物业公司签订合同时终止</w:t>
      </w:r>
      <w:r>
        <w:rPr>
          <w:rFonts w:hint="eastAsia" w:ascii="宋体" w:hAnsi="宋体" w:eastAsia="宋体" w:cs="宋体"/>
          <w:color w:val="auto"/>
          <w:kern w:val="0"/>
          <w:sz w:val="24"/>
        </w:rPr>
        <w:t>。</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2.2.2服务内容主要包括但不限于：</w:t>
      </w:r>
    </w:p>
    <w:p>
      <w:pPr>
        <w:pStyle w:val="14"/>
        <w:shd w:val="clear" w:color="auto" w:fill="FFFFFF"/>
        <w:spacing w:before="0" w:beforeAutospacing="0" w:after="0" w:line="440" w:lineRule="exact"/>
        <w:ind w:firstLine="480" w:firstLineChars="200"/>
        <w:rPr>
          <w:rFonts w:hint="eastAsia" w:ascii="宋体" w:hAnsi="宋体" w:cs="宋体"/>
        </w:rPr>
      </w:pPr>
      <w:r>
        <w:rPr>
          <w:rFonts w:hint="eastAsia" w:ascii="宋体" w:hAnsi="宋体" w:cs="宋体"/>
        </w:rPr>
        <w:t>（1）交接相关物业服务：对项目物业管理中的规划设计方案、配套设施建设、工程质量控制、设备运行管理等承接查验事项进行接管，做好衔接延续工作。</w:t>
      </w:r>
    </w:p>
    <w:p>
      <w:pPr>
        <w:pStyle w:val="14"/>
        <w:shd w:val="clear" w:color="auto" w:fill="FFFFFF"/>
        <w:spacing w:before="0" w:beforeAutospacing="0" w:after="0" w:line="440" w:lineRule="exact"/>
        <w:ind w:firstLine="480" w:firstLineChars="200"/>
        <w:rPr>
          <w:rFonts w:hint="eastAsia" w:ascii="宋体" w:hAnsi="宋体" w:cs="宋体"/>
        </w:rPr>
      </w:pPr>
      <w:r>
        <w:rPr>
          <w:rFonts w:hint="eastAsia" w:ascii="宋体" w:hAnsi="宋体" w:cs="宋体"/>
        </w:rPr>
        <w:t>（2）承接后物业服务：公共部位及公共设备设施的日常维护与管理、安全管理、停车管理、清洁管理、客户服务管理、档案资料管理、绿化美化管理、特约服务以及物业接管验收等。</w:t>
      </w:r>
    </w:p>
    <w:p>
      <w:pPr>
        <w:tabs>
          <w:tab w:val="center" w:pos="4154"/>
          <w:tab w:val="left" w:pos="6525"/>
        </w:tabs>
        <w:jc w:val="center"/>
        <w:rPr>
          <w:rFonts w:hint="eastAsia" w:ascii="宋体" w:hAnsi="宋体" w:cs="宋体"/>
          <w:b/>
          <w:bCs/>
          <w:sz w:val="28"/>
          <w:szCs w:val="28"/>
        </w:rPr>
      </w:pPr>
      <w:r>
        <w:rPr>
          <w:rFonts w:hint="eastAsia" w:ascii="宋体" w:hAnsi="宋体" w:cs="宋体"/>
          <w:b/>
          <w:bCs/>
          <w:sz w:val="28"/>
          <w:szCs w:val="28"/>
        </w:rPr>
        <w:t>（二）服务范围与要求</w:t>
      </w:r>
    </w:p>
    <w:p>
      <w:pPr>
        <w:spacing w:line="440" w:lineRule="exact"/>
        <w:ind w:right="-178" w:rightChars="-85" w:firstLine="470" w:firstLineChars="196"/>
        <w:rPr>
          <w:rFonts w:hint="eastAsia" w:ascii="宋体" w:hAnsi="宋体" w:cs="宋体"/>
          <w:sz w:val="24"/>
          <w:szCs w:val="24"/>
        </w:rPr>
      </w:pPr>
      <w:r>
        <w:rPr>
          <w:rFonts w:hint="eastAsia" w:ascii="宋体" w:hAnsi="宋体" w:cs="宋体"/>
          <w:sz w:val="24"/>
          <w:szCs w:val="24"/>
        </w:rPr>
        <w:t>按照《安徽省住宅区物业服务标准》</w:t>
      </w:r>
      <w:r>
        <w:rPr>
          <w:rFonts w:hint="eastAsia" w:ascii="宋体" w:hAnsi="宋体" w:cs="宋体"/>
          <w:sz w:val="24"/>
          <w:szCs w:val="24"/>
          <w:lang w:eastAsia="zh-CN"/>
        </w:rPr>
        <w:t>B</w:t>
      </w:r>
      <w:r>
        <w:rPr>
          <w:rFonts w:hint="eastAsia" w:ascii="宋体" w:hAnsi="宋体" w:cs="宋体"/>
          <w:sz w:val="24"/>
          <w:szCs w:val="24"/>
        </w:rPr>
        <w:t>级标准执行（详见后附）。</w:t>
      </w:r>
    </w:p>
    <w:p>
      <w:pPr>
        <w:pStyle w:val="14"/>
        <w:shd w:val="clear" w:color="auto" w:fill="FFFFFF"/>
        <w:spacing w:before="0" w:beforeAutospacing="0" w:after="0" w:line="440" w:lineRule="exact"/>
        <w:ind w:firstLine="480" w:firstLineChars="200"/>
        <w:jc w:val="left"/>
        <w:rPr>
          <w:rFonts w:hint="eastAsia" w:ascii="宋体" w:hAnsi="宋体" w:cs="宋体"/>
        </w:rPr>
      </w:pPr>
      <w:r>
        <w:rPr>
          <w:rFonts w:hint="eastAsia" w:ascii="宋体" w:hAnsi="宋体" w:cs="宋体"/>
        </w:rPr>
        <w:t>招标项目内容：</w:t>
      </w:r>
      <w:r>
        <w:rPr>
          <w:rFonts w:hint="eastAsia" w:ascii="宋体" w:hAnsi="宋体" w:cs="宋体"/>
        </w:rPr>
        <w:br w:type="textWrapping"/>
      </w:r>
      <w:r>
        <w:rPr>
          <w:rFonts w:hint="eastAsia" w:ascii="宋体" w:hAnsi="宋体" w:cs="宋体"/>
        </w:rPr>
        <w:t xml:space="preserve">    1、小区规划红线范围内，涉及共有财产和公共事物的综合管理，包括但不仅限于制定物业管理服务工作计划，并组织实施；管理与物业管理服务相关的档案资料，工程图纸、住用户档案、竣工验收材料、设备技术资料、设备运行维护纪录等。</w:t>
      </w:r>
      <w:r>
        <w:rPr>
          <w:rFonts w:hint="eastAsia" w:ascii="宋体" w:hAnsi="宋体" w:cs="宋体"/>
        </w:rPr>
        <w:br w:type="textWrapping"/>
      </w:r>
      <w:r>
        <w:rPr>
          <w:rFonts w:hint="eastAsia" w:ascii="宋体" w:hAnsi="宋体" w:cs="宋体"/>
        </w:rPr>
        <w:t xml:space="preserve">    2、房屋建筑共用（有）部位的日常维修、养护和管理，共用（有）部位包括但不仅限于：本物业土地规划使用范围内的所有道路、空地、绿地；不为单个业主所拥有的所有建筑物、构筑物、房屋；房屋的承重结构(基础、承重墙体、梁柱、楼盖、屋顶等)，公共门厅、卫生间、走廊、过道、垃圾间（垃圾房）、楼梯间、电梯井、设备用房等为维持房屋的结构及使用功能或者为业主或使用人提供服务，共同使用的部位和设施。 </w:t>
      </w:r>
      <w:r>
        <w:rPr>
          <w:rFonts w:hint="eastAsia" w:ascii="宋体" w:hAnsi="宋体" w:cs="宋体"/>
        </w:rPr>
        <w:br w:type="textWrapping"/>
      </w:r>
      <w:r>
        <w:rPr>
          <w:rFonts w:hint="eastAsia" w:ascii="宋体" w:hAnsi="宋体" w:cs="宋体"/>
        </w:rPr>
        <w:t xml:space="preserve">    3、共用（有）设施设备的日常维修、养护和管理，共用（有）设施设备包括但不仅限于：共用（有）的上下水管道、落水管等给排水系统，共用（有）照明系统、变配电系统、照明灯具、二次供水系统、天然气供气系统、电梯系统、公共区域及楼内消防设施设备系统、保安监控报警设备系统、门禁可视对讲系统、中控室系统、避雷装置、天线、有线电视系统、电信及宽带网络系统，排烟道,通向污水井的下水管道、雨落管等排污系统；设置在任何单位内但与其它单位或其它部分共同使用的装置；物业区域内的市政排水设施，物业区域的外围护栏及围墙等为业主、使用人共同使用的设施设备。</w:t>
      </w:r>
      <w:r>
        <w:rPr>
          <w:rFonts w:hint="eastAsia" w:ascii="宋体" w:hAnsi="宋体" w:cs="宋体"/>
        </w:rPr>
        <w:br w:type="textWrapping"/>
      </w:r>
      <w:r>
        <w:rPr>
          <w:rFonts w:hint="eastAsia" w:ascii="宋体" w:hAnsi="宋体" w:cs="宋体"/>
        </w:rPr>
        <w:t xml:space="preserve">    4、共用（有）设施和附属建筑物、构筑物的日常维修养护和管理，包括但不仅限于：化粪池、泵房、自行车棚、室外给排水管道、沟渠、消防水池、高压水泵房等为业主、使用人共同使用的设施和附属建筑物、构筑物。</w:t>
      </w:r>
      <w:r>
        <w:rPr>
          <w:rFonts w:hint="eastAsia" w:ascii="宋体" w:hAnsi="宋体" w:cs="宋体"/>
        </w:rPr>
        <w:br w:type="textWrapping"/>
      </w:r>
      <w:r>
        <w:rPr>
          <w:rFonts w:hint="eastAsia" w:ascii="宋体" w:hAnsi="宋体" w:cs="宋体"/>
        </w:rPr>
        <w:t xml:space="preserve">    5、小区规划红线范围内以及围墙内认养的所有绿地、花木、喷泉系统、建筑小品等养护与管理，保证正常使用。</w:t>
      </w:r>
      <w:r>
        <w:rPr>
          <w:rFonts w:hint="eastAsia" w:ascii="宋体" w:hAnsi="宋体" w:cs="宋体"/>
        </w:rPr>
        <w:br w:type="textWrapping"/>
      </w:r>
      <w:r>
        <w:rPr>
          <w:rFonts w:hint="eastAsia" w:ascii="宋体" w:hAnsi="宋体" w:cs="宋体"/>
        </w:rPr>
        <w:t xml:space="preserve">    6、公共环境卫生，小区规划红线以内，业主户门以外包括但不仅限于房屋共用（有）部位的清洁卫生，公共场所的清洁卫生、垃圾的收集、清运等。</w:t>
      </w:r>
      <w:r>
        <w:rPr>
          <w:rFonts w:hint="eastAsia" w:ascii="宋体" w:hAnsi="宋体" w:cs="宋体"/>
        </w:rPr>
        <w:br w:type="textWrapping"/>
      </w:r>
      <w:r>
        <w:rPr>
          <w:rFonts w:hint="eastAsia" w:ascii="宋体" w:hAnsi="宋体" w:cs="宋体"/>
        </w:rPr>
        <w:t xml:space="preserve">    7、维护公共秩序、安全防范和楼宇保安，小区规划红线以内，业主户门以外包括但不仅限于门岗服务、物业区域内巡查、安全监控、夜班执勤、维护交通秩序、看管公共财产等。</w:t>
      </w:r>
      <w:r>
        <w:rPr>
          <w:rFonts w:hint="eastAsia" w:ascii="宋体" w:hAnsi="宋体" w:cs="宋体"/>
        </w:rPr>
        <w:br w:type="textWrapping"/>
      </w:r>
      <w:r>
        <w:rPr>
          <w:rFonts w:hint="eastAsia" w:ascii="宋体" w:hAnsi="宋体" w:cs="宋体"/>
        </w:rPr>
        <w:t xml:space="preserve">    8、消防管理服务，包括公共区域消防设施设备的维护及消防管理。</w:t>
      </w:r>
      <w:r>
        <w:rPr>
          <w:rFonts w:hint="eastAsia" w:ascii="宋体" w:hAnsi="宋体" w:cs="宋体"/>
        </w:rPr>
        <w:br w:type="textWrapping"/>
      </w:r>
      <w:r>
        <w:rPr>
          <w:rFonts w:hint="eastAsia" w:ascii="宋体" w:hAnsi="宋体" w:cs="宋体"/>
        </w:rPr>
        <w:t xml:space="preserve">    9、电梯、水泵的运行和日常维护管理，包括但不仅限于电梯运行、维修；电梯定期检验；电梯（安装、改造、重大维修）监督检验；电梯限速器校验等；主泵和备用泵的运行、维修；消防泵试泵；水质化验；水箱清洗；普查；消毒等。</w:t>
      </w:r>
      <w:r>
        <w:rPr>
          <w:rFonts w:hint="eastAsia" w:ascii="宋体" w:hAnsi="宋体" w:cs="宋体"/>
        </w:rPr>
        <w:br w:type="textWrapping"/>
      </w:r>
      <w:r>
        <w:rPr>
          <w:rFonts w:hint="eastAsia" w:ascii="宋体" w:hAnsi="宋体" w:cs="宋体"/>
        </w:rPr>
        <w:t xml:space="preserve">    10、装饰装修管理服务。</w:t>
      </w:r>
      <w:r>
        <w:rPr>
          <w:rFonts w:hint="eastAsia" w:ascii="宋体" w:hAnsi="宋体" w:cs="宋体"/>
        </w:rPr>
        <w:br w:type="textWrapping"/>
      </w:r>
      <w:r>
        <w:rPr>
          <w:rFonts w:hint="eastAsia" w:ascii="宋体" w:hAnsi="宋体" w:cs="宋体"/>
        </w:rPr>
        <w:t xml:space="preserve">    11、物业服务质量要求如下：</w:t>
      </w:r>
      <w:r>
        <w:rPr>
          <w:rFonts w:hint="eastAsia" w:ascii="宋体" w:hAnsi="宋体" w:cs="宋体"/>
        </w:rPr>
        <w:br w:type="textWrapping"/>
      </w:r>
      <w:r>
        <w:rPr>
          <w:rFonts w:hint="eastAsia" w:ascii="宋体" w:hAnsi="宋体" w:cs="宋体"/>
        </w:rPr>
        <w:t xml:space="preserve">    国家法律、法规、规章、地方法规没有规定的，而合同规定有的服务管理事项和服务质量要求，按合同执行；国家法律、法规、规章、地方法规和合同都规定有的服务管理事项和服务质量要求，而各种规定和合同不尽相同的，按服务质量要求高的执行；国家法律、法规、规章、地方法规有规定而合同没有规定的，按国家法律、法规、规章、地方法规执行。按照安徽省《住宅区物业服务标准》</w:t>
      </w:r>
      <w:r>
        <w:rPr>
          <w:rFonts w:hint="eastAsia" w:ascii="宋体" w:hAnsi="宋体" w:cs="宋体"/>
          <w:lang w:eastAsia="zh-CN"/>
        </w:rPr>
        <w:t>B</w:t>
      </w:r>
      <w:r>
        <w:rPr>
          <w:rFonts w:hint="eastAsia" w:ascii="宋体" w:hAnsi="宋体" w:cs="宋体"/>
        </w:rPr>
        <w:t>级标准执行（后附）。</w:t>
      </w:r>
      <w:r>
        <w:rPr>
          <w:rFonts w:hint="eastAsia" w:ascii="宋体" w:hAnsi="宋体" w:cs="宋体"/>
        </w:rPr>
        <w:br w:type="textWrapping"/>
      </w:r>
      <w:r>
        <w:rPr>
          <w:rFonts w:hint="eastAsia" w:ascii="宋体" w:hAnsi="宋体" w:cs="宋体"/>
        </w:rPr>
        <w:t xml:space="preserve">    12、乙方应向甲方保证服务质量。</w:t>
      </w:r>
      <w:r>
        <w:rPr>
          <w:rFonts w:hint="eastAsia" w:ascii="宋体" w:hAnsi="宋体" w:cs="宋体"/>
        </w:rPr>
        <w:br w:type="textWrapping"/>
      </w:r>
      <w:r>
        <w:rPr>
          <w:rFonts w:hint="eastAsia" w:ascii="宋体" w:hAnsi="宋体" w:cs="宋体"/>
        </w:rPr>
        <w:t xml:space="preserve">    13、协调所属地政府、各行业主管部门、居委会、开发商、各公共服务部门、业主委员会之间的联络与沟通。提出服务项目供招标人参考的项目：</w:t>
      </w:r>
      <w:r>
        <w:rPr>
          <w:rFonts w:hint="eastAsia" w:ascii="宋体" w:hAnsi="宋体" w:cs="宋体"/>
        </w:rPr>
        <w:br w:type="textWrapping"/>
      </w:r>
      <w:r>
        <w:rPr>
          <w:rFonts w:hint="eastAsia" w:ascii="宋体" w:hAnsi="宋体" w:cs="宋体"/>
        </w:rPr>
        <w:t xml:space="preserve">    14、提出特约有偿服务内容和收费标准。</w:t>
      </w:r>
      <w:r>
        <w:rPr>
          <w:rFonts w:hint="eastAsia" w:ascii="宋体" w:hAnsi="宋体" w:cs="宋体"/>
        </w:rPr>
        <w:br w:type="textWrapping"/>
      </w:r>
      <w:r>
        <w:rPr>
          <w:rFonts w:hint="eastAsia" w:ascii="宋体" w:hAnsi="宋体" w:cs="宋体"/>
        </w:rPr>
        <w:t xml:space="preserve">    15、提出停车管理的方案，包括解决停车位紧张的办法。</w:t>
      </w:r>
    </w:p>
    <w:p>
      <w:pPr>
        <w:pStyle w:val="14"/>
        <w:shd w:val="clear" w:color="auto" w:fill="FFFFFF"/>
        <w:spacing w:before="166" w:beforeLines="50" w:beforeAutospacing="0" w:after="166" w:afterLines="50" w:line="440" w:lineRule="exact"/>
        <w:jc w:val="center"/>
        <w:rPr>
          <w:rFonts w:hint="eastAsia" w:ascii="宋体" w:hAnsi="宋体" w:cs="宋体"/>
          <w:b/>
          <w:bCs/>
          <w:sz w:val="28"/>
          <w:szCs w:val="28"/>
        </w:rPr>
      </w:pPr>
    </w:p>
    <w:p>
      <w:pPr>
        <w:pStyle w:val="14"/>
        <w:shd w:val="clear" w:color="auto" w:fill="FFFFFF"/>
        <w:spacing w:before="166" w:beforeLines="50" w:beforeAutospacing="0" w:after="166" w:afterLines="50" w:line="440" w:lineRule="exact"/>
        <w:rPr>
          <w:rFonts w:hint="eastAsia" w:ascii="宋体" w:hAnsi="宋体" w:cs="宋体"/>
          <w:b/>
          <w:bCs/>
          <w:sz w:val="28"/>
          <w:szCs w:val="28"/>
        </w:rPr>
      </w:pPr>
    </w:p>
    <w:p>
      <w:pPr>
        <w:pStyle w:val="14"/>
        <w:shd w:val="clear" w:color="auto" w:fill="FFFFFF"/>
        <w:spacing w:before="166" w:beforeLines="50" w:beforeAutospacing="0" w:after="166" w:afterLines="50" w:line="440" w:lineRule="exact"/>
        <w:jc w:val="center"/>
        <w:rPr>
          <w:rFonts w:hint="eastAsia" w:ascii="宋体" w:hAnsi="宋体" w:cs="宋体"/>
          <w:b/>
          <w:bCs/>
          <w:sz w:val="28"/>
          <w:szCs w:val="28"/>
        </w:rPr>
      </w:pPr>
      <w:r>
        <w:rPr>
          <w:rFonts w:hint="eastAsia" w:ascii="宋体" w:hAnsi="宋体" w:cs="宋体"/>
          <w:b/>
          <w:bCs/>
          <w:sz w:val="28"/>
          <w:szCs w:val="28"/>
        </w:rPr>
        <w:t>（三）投标报价要求</w:t>
      </w:r>
    </w:p>
    <w:p>
      <w:pPr>
        <w:widowControl/>
        <w:shd w:val="clear" w:color="auto" w:fill="FFFFFF"/>
        <w:spacing w:line="440" w:lineRule="exact"/>
        <w:ind w:firstLine="480" w:firstLineChars="200"/>
        <w:jc w:val="left"/>
        <w:rPr>
          <w:rFonts w:hint="eastAsia" w:ascii="宋体" w:hAnsi="宋体" w:cs="宋体"/>
          <w:sz w:val="24"/>
          <w:szCs w:val="24"/>
        </w:rPr>
      </w:pPr>
      <w:r>
        <w:rPr>
          <w:rFonts w:hint="eastAsia" w:ascii="宋体" w:hAnsi="宋体" w:cs="宋体"/>
          <w:sz w:val="24"/>
          <w:szCs w:val="24"/>
        </w:rPr>
        <w:t>1、投标报价应是“招标文件”所确定的招标范围内全部工作内容的价格体现，报价依据招标文件内容及政府有关收费规定制订，招标人不保证最低价中标。</w:t>
      </w:r>
    </w:p>
    <w:p>
      <w:pPr>
        <w:widowControl/>
        <w:shd w:val="clear" w:color="auto" w:fill="FFFFFF"/>
        <w:spacing w:line="440" w:lineRule="exact"/>
        <w:ind w:firstLine="480" w:firstLineChars="200"/>
        <w:jc w:val="left"/>
        <w:rPr>
          <w:rFonts w:hint="eastAsia" w:ascii="宋体" w:hAnsi="宋体" w:cs="宋体"/>
          <w:kern w:val="0"/>
          <w:sz w:val="24"/>
          <w:lang w:bidi="ar"/>
        </w:rPr>
      </w:pPr>
      <w:r>
        <w:rPr>
          <w:rFonts w:hint="eastAsia" w:ascii="宋体" w:hAnsi="宋体" w:cs="宋体"/>
          <w:sz w:val="24"/>
          <w:szCs w:val="24"/>
        </w:rPr>
        <w:t>2、物业管理服务内容及标准及报价说明服务内容和标准按照《安徽省住宅区物业服务标准》</w:t>
      </w:r>
      <w:r>
        <w:rPr>
          <w:rFonts w:hint="eastAsia" w:ascii="宋体" w:hAnsi="宋体" w:cs="宋体"/>
          <w:sz w:val="24"/>
          <w:szCs w:val="24"/>
          <w:lang w:eastAsia="zh-CN"/>
        </w:rPr>
        <w:t>B</w:t>
      </w:r>
      <w:r>
        <w:rPr>
          <w:rFonts w:hint="eastAsia" w:ascii="宋体" w:hAnsi="宋体" w:cs="宋体"/>
          <w:sz w:val="24"/>
          <w:szCs w:val="24"/>
        </w:rPr>
        <w:t xml:space="preserve">级执行，收费标准按照阜阳市收费指导价对应标准执行。      </w:t>
      </w:r>
      <w:r>
        <w:rPr>
          <w:rFonts w:hint="eastAsia" w:ascii="宋体" w:hAnsi="宋体" w:cs="宋体"/>
          <w:kern w:val="0"/>
          <w:sz w:val="24"/>
          <w:lang w:bidi="ar"/>
        </w:rPr>
        <w:t xml:space="preserve">                                                </w:t>
      </w:r>
    </w:p>
    <w:p>
      <w:pPr>
        <w:widowControl/>
        <w:snapToGrid w:val="0"/>
        <w:spacing w:line="440" w:lineRule="exact"/>
        <w:ind w:firstLine="480" w:firstLineChars="200"/>
        <w:jc w:val="left"/>
        <w:rPr>
          <w:rFonts w:hint="eastAsia" w:ascii="宋体" w:hAnsi="宋体" w:cs="宋体"/>
          <w:sz w:val="24"/>
          <w:szCs w:val="24"/>
        </w:rPr>
      </w:pPr>
      <w:r>
        <w:rPr>
          <w:rFonts w:hint="eastAsia" w:ascii="宋体" w:hAnsi="宋体" w:cs="宋体"/>
          <w:sz w:val="24"/>
          <w:szCs w:val="24"/>
        </w:rPr>
        <w:t>投标总价</w:t>
      </w:r>
      <w:r>
        <w:rPr>
          <w:rFonts w:hint="eastAsia" w:ascii="宋体" w:hAnsi="宋体" w:cs="宋体"/>
          <w:sz w:val="24"/>
          <w:szCs w:val="24"/>
          <w:lang w:eastAsia="zh-CN"/>
        </w:rPr>
        <w:t>（</w:t>
      </w:r>
      <w:r>
        <w:rPr>
          <w:rFonts w:hint="eastAsia" w:ascii="宋体" w:hAnsi="宋体" w:cs="宋体"/>
          <w:sz w:val="24"/>
          <w:szCs w:val="24"/>
          <w:lang w:val="en-US" w:eastAsia="zh-CN"/>
        </w:rPr>
        <w:t>一年</w:t>
      </w:r>
      <w:r>
        <w:rPr>
          <w:rFonts w:hint="eastAsia" w:ascii="宋体" w:hAnsi="宋体" w:cs="宋体"/>
          <w:sz w:val="24"/>
          <w:szCs w:val="24"/>
          <w:lang w:eastAsia="zh-CN"/>
        </w:rPr>
        <w:t>）</w:t>
      </w:r>
      <w:r>
        <w:rPr>
          <w:rFonts w:hint="eastAsia" w:ascii="宋体" w:hAnsi="宋体" w:cs="宋体"/>
          <w:sz w:val="24"/>
          <w:szCs w:val="24"/>
        </w:rPr>
        <w:t>的计算过程为：</w:t>
      </w:r>
    </w:p>
    <w:p>
      <w:pPr>
        <w:widowControl/>
        <w:snapToGrid w:val="0"/>
        <w:spacing w:line="440" w:lineRule="exact"/>
        <w:ind w:firstLine="480" w:firstLineChars="200"/>
        <w:jc w:val="left"/>
        <w:rPr>
          <w:rFonts w:hint="eastAsia" w:ascii="宋体" w:hAnsi="宋体" w:cs="宋体"/>
          <w:color w:val="FF0000"/>
          <w:sz w:val="24"/>
          <w:szCs w:val="24"/>
        </w:rPr>
      </w:pPr>
      <w:r>
        <w:rPr>
          <w:rFonts w:hint="eastAsia" w:ascii="宋体" w:hAnsi="宋体" w:cs="宋体"/>
          <w:color w:val="FF0000"/>
          <w:sz w:val="24"/>
          <w:szCs w:val="24"/>
        </w:rPr>
        <w:t>住宅：</w:t>
      </w:r>
      <w:r>
        <w:rPr>
          <w:rFonts w:hint="eastAsia" w:ascii="宋体" w:hAnsi="宋体" w:cs="宋体"/>
          <w:color w:val="FF0000"/>
          <w:sz w:val="24"/>
          <w:szCs w:val="24"/>
          <w:lang w:val="en-US" w:eastAsia="zh-CN"/>
        </w:rPr>
        <w:t xml:space="preserve"> 102313.84</w:t>
      </w:r>
      <w:r>
        <w:rPr>
          <w:rFonts w:hint="eastAsia" w:ascii="宋体" w:hAnsi="宋体" w:cs="宋体"/>
          <w:color w:val="FF0000"/>
          <w:sz w:val="24"/>
          <w:szCs w:val="24"/>
        </w:rPr>
        <w:t>平方米×</w:t>
      </w:r>
      <w:r>
        <w:rPr>
          <w:rFonts w:hint="eastAsia" w:ascii="宋体" w:hAnsi="宋体" w:cs="宋体"/>
          <w:color w:val="FF0000"/>
          <w:sz w:val="24"/>
          <w:szCs w:val="24"/>
          <w:lang w:eastAsia="zh-CN"/>
        </w:rPr>
        <w:t>B</w:t>
      </w:r>
      <w:r>
        <w:rPr>
          <w:rFonts w:hint="eastAsia" w:ascii="宋体" w:hAnsi="宋体" w:cs="宋体"/>
          <w:color w:val="FF0000"/>
          <w:sz w:val="24"/>
          <w:szCs w:val="24"/>
        </w:rPr>
        <w:t>元/平方米·月×</w:t>
      </w:r>
      <w:r>
        <w:rPr>
          <w:rFonts w:hint="eastAsia" w:ascii="宋体" w:hAnsi="宋体" w:cs="宋体"/>
          <w:color w:val="FF0000"/>
          <w:sz w:val="24"/>
          <w:szCs w:val="24"/>
          <w:lang w:val="en-US" w:eastAsia="zh-CN"/>
        </w:rPr>
        <w:t>12</w:t>
      </w:r>
      <w:r>
        <w:rPr>
          <w:rFonts w:hint="eastAsia" w:ascii="宋体" w:hAnsi="宋体" w:cs="宋体"/>
          <w:color w:val="FF0000"/>
          <w:sz w:val="24"/>
          <w:szCs w:val="24"/>
        </w:rPr>
        <w:t>月＝</w:t>
      </w:r>
      <w:r>
        <w:rPr>
          <w:rFonts w:hint="eastAsia" w:ascii="宋体" w:hAnsi="宋体" w:cs="宋体"/>
          <w:color w:val="FF0000"/>
          <w:sz w:val="24"/>
          <w:szCs w:val="24"/>
          <w:lang w:eastAsia="zh-CN"/>
        </w:rPr>
        <w:t>B</w:t>
      </w:r>
      <w:r>
        <w:rPr>
          <w:rFonts w:hint="eastAsia" w:ascii="宋体" w:hAnsi="宋体" w:cs="宋体"/>
          <w:color w:val="FF0000"/>
          <w:sz w:val="24"/>
          <w:szCs w:val="24"/>
        </w:rPr>
        <w:t>元；</w:t>
      </w:r>
    </w:p>
    <w:p>
      <w:pPr>
        <w:widowControl/>
        <w:snapToGrid w:val="0"/>
        <w:spacing w:line="440" w:lineRule="exact"/>
        <w:ind w:firstLine="480" w:firstLineChars="200"/>
        <w:jc w:val="left"/>
        <w:rPr>
          <w:rFonts w:hint="eastAsia" w:ascii="宋体" w:hAnsi="宋体" w:cs="宋体"/>
          <w:color w:val="FF0000"/>
          <w:sz w:val="24"/>
          <w:szCs w:val="24"/>
        </w:rPr>
      </w:pPr>
      <w:r>
        <w:rPr>
          <w:rFonts w:hint="eastAsia" w:ascii="宋体" w:hAnsi="宋体" w:cs="宋体"/>
          <w:color w:val="FF0000"/>
          <w:sz w:val="24"/>
          <w:szCs w:val="24"/>
        </w:rPr>
        <w:t>商业：</w:t>
      </w:r>
      <w:r>
        <w:rPr>
          <w:rFonts w:hint="eastAsia" w:ascii="宋体" w:hAnsi="宋体" w:cs="宋体"/>
          <w:color w:val="FF0000"/>
          <w:sz w:val="24"/>
          <w:szCs w:val="24"/>
          <w:lang w:val="en-US" w:eastAsia="zh-CN"/>
        </w:rPr>
        <w:t xml:space="preserve"> 2942.29</w:t>
      </w:r>
      <w:r>
        <w:rPr>
          <w:rFonts w:hint="eastAsia" w:ascii="宋体" w:hAnsi="宋体" w:cs="宋体"/>
          <w:color w:val="FF0000"/>
          <w:sz w:val="24"/>
          <w:szCs w:val="24"/>
        </w:rPr>
        <w:t>平方米×b元/平方米·月×</w:t>
      </w:r>
      <w:r>
        <w:rPr>
          <w:rFonts w:hint="eastAsia" w:ascii="宋体" w:hAnsi="宋体" w:cs="宋体"/>
          <w:color w:val="FF0000"/>
          <w:sz w:val="24"/>
          <w:szCs w:val="24"/>
          <w:lang w:val="en-US" w:eastAsia="zh-CN"/>
        </w:rPr>
        <w:t>12</w:t>
      </w:r>
      <w:r>
        <w:rPr>
          <w:rFonts w:hint="eastAsia" w:ascii="宋体" w:hAnsi="宋体" w:cs="宋体"/>
          <w:color w:val="FF0000"/>
          <w:sz w:val="24"/>
          <w:szCs w:val="24"/>
        </w:rPr>
        <w:t>月＝B元；</w:t>
      </w:r>
    </w:p>
    <w:p>
      <w:pPr>
        <w:widowControl/>
        <w:snapToGrid w:val="0"/>
        <w:spacing w:line="440" w:lineRule="exact"/>
        <w:ind w:firstLine="480" w:firstLineChars="200"/>
        <w:jc w:val="left"/>
        <w:rPr>
          <w:rFonts w:hint="eastAsia" w:ascii="宋体" w:hAnsi="宋体" w:cs="宋体"/>
          <w:color w:val="FF0000"/>
          <w:sz w:val="24"/>
          <w:szCs w:val="24"/>
        </w:rPr>
      </w:pPr>
      <w:r>
        <w:rPr>
          <w:rFonts w:hint="eastAsia" w:ascii="宋体" w:hAnsi="宋体" w:cs="宋体"/>
          <w:color w:val="FF0000"/>
          <w:sz w:val="24"/>
          <w:szCs w:val="24"/>
        </w:rPr>
        <w:t>车辆停放管理费（地上）：</w:t>
      </w:r>
      <w:r>
        <w:rPr>
          <w:rFonts w:hint="eastAsia" w:ascii="宋体" w:hAnsi="宋体" w:cs="宋体"/>
          <w:color w:val="FF0000"/>
          <w:sz w:val="24"/>
          <w:szCs w:val="24"/>
          <w:lang w:val="en-US" w:eastAsia="zh-CN"/>
        </w:rPr>
        <w:t>218</w:t>
      </w:r>
      <w:r>
        <w:rPr>
          <w:rFonts w:hint="eastAsia" w:ascii="宋体" w:hAnsi="宋体" w:cs="宋体"/>
          <w:color w:val="FF0000"/>
          <w:sz w:val="24"/>
          <w:szCs w:val="24"/>
        </w:rPr>
        <w:t>个×e元/个·月×12月</w:t>
      </w:r>
      <w:r>
        <w:rPr>
          <w:rFonts w:hint="eastAsia" w:ascii="宋体" w:hAnsi="宋体" w:cs="宋体"/>
          <w:color w:val="FF0000"/>
          <w:sz w:val="24"/>
          <w:szCs w:val="24"/>
          <w:lang w:val="en-US" w:eastAsia="zh-CN"/>
        </w:rPr>
        <w:t>+</w:t>
      </w:r>
      <w:r>
        <w:rPr>
          <w:rFonts w:hint="eastAsia" w:ascii="宋体" w:hAnsi="宋体" w:cs="宋体"/>
          <w:color w:val="FF0000"/>
          <w:sz w:val="24"/>
          <w:szCs w:val="24"/>
        </w:rPr>
        <w:t>（地下）：</w:t>
      </w:r>
      <w:r>
        <w:rPr>
          <w:rFonts w:hint="eastAsia" w:ascii="宋体" w:hAnsi="宋体" w:cs="宋体"/>
          <w:color w:val="FF0000"/>
          <w:sz w:val="24"/>
          <w:szCs w:val="24"/>
          <w:lang w:val="en-US" w:eastAsia="zh-CN"/>
        </w:rPr>
        <w:t>966</w:t>
      </w:r>
      <w:r>
        <w:rPr>
          <w:rFonts w:hint="eastAsia" w:ascii="宋体" w:hAnsi="宋体" w:cs="宋体"/>
          <w:color w:val="FF0000"/>
          <w:sz w:val="24"/>
          <w:szCs w:val="24"/>
        </w:rPr>
        <w:t>个×f元/个·月×12月＝C元 ；</w:t>
      </w:r>
    </w:p>
    <w:p>
      <w:pPr>
        <w:widowControl/>
        <w:snapToGrid w:val="0"/>
        <w:spacing w:line="440" w:lineRule="exact"/>
        <w:ind w:firstLine="480" w:firstLineChars="200"/>
        <w:jc w:val="left"/>
        <w:rPr>
          <w:rFonts w:ascii="宋体" w:hAnsi="宋体" w:cs="宋体"/>
          <w:color w:val="FF0000"/>
          <w:sz w:val="24"/>
          <w:szCs w:val="24"/>
        </w:rPr>
      </w:pPr>
      <w:r>
        <w:rPr>
          <w:rFonts w:hint="eastAsia" w:ascii="宋体" w:hAnsi="宋体" w:cs="宋体"/>
          <w:color w:val="FF0000"/>
          <w:sz w:val="24"/>
          <w:szCs w:val="24"/>
        </w:rPr>
        <w:t xml:space="preserve">投标总价= </w:t>
      </w:r>
      <w:r>
        <w:rPr>
          <w:rFonts w:hint="eastAsia" w:ascii="宋体" w:hAnsi="宋体" w:cs="宋体"/>
          <w:color w:val="FF0000"/>
          <w:sz w:val="24"/>
          <w:szCs w:val="24"/>
          <w:lang w:eastAsia="zh-CN"/>
        </w:rPr>
        <w:t>B</w:t>
      </w:r>
      <w:r>
        <w:rPr>
          <w:rFonts w:hint="eastAsia" w:ascii="宋体" w:hAnsi="宋体" w:cs="宋体"/>
          <w:color w:val="FF0000"/>
          <w:sz w:val="24"/>
          <w:szCs w:val="24"/>
        </w:rPr>
        <w:t xml:space="preserve"> + B +</w:t>
      </w:r>
      <w:r>
        <w:rPr>
          <w:rFonts w:hint="eastAsia" w:ascii="宋体" w:hAnsi="宋体" w:cs="宋体"/>
          <w:color w:val="FF0000"/>
          <w:sz w:val="24"/>
          <w:szCs w:val="24"/>
          <w:lang w:val="en-US" w:eastAsia="zh-CN"/>
        </w:rPr>
        <w:t xml:space="preserve"> </w:t>
      </w:r>
      <w:r>
        <w:rPr>
          <w:rFonts w:hint="eastAsia" w:ascii="宋体" w:hAnsi="宋体" w:cs="宋体"/>
          <w:color w:val="FF0000"/>
          <w:sz w:val="24"/>
          <w:szCs w:val="24"/>
        </w:rPr>
        <w:t>C</w:t>
      </w:r>
      <w:r>
        <w:rPr>
          <w:rFonts w:hint="eastAsia" w:ascii="宋体" w:hAnsi="宋体" w:cs="宋体"/>
          <w:color w:val="FF0000"/>
          <w:sz w:val="24"/>
          <w:szCs w:val="24"/>
          <w:lang w:val="en-US" w:eastAsia="zh-CN"/>
        </w:rPr>
        <w:t xml:space="preserve"> </w:t>
      </w:r>
    </w:p>
    <w:p>
      <w:pPr>
        <w:widowControl/>
        <w:snapToGrid w:val="0"/>
        <w:spacing w:line="440" w:lineRule="exact"/>
        <w:ind w:firstLine="480" w:firstLineChars="200"/>
        <w:jc w:val="left"/>
        <w:rPr>
          <w:rFonts w:hint="eastAsia" w:ascii="宋体" w:hAnsi="宋体" w:cs="宋体"/>
          <w:sz w:val="24"/>
          <w:szCs w:val="24"/>
        </w:rPr>
      </w:pPr>
      <w:r>
        <w:rPr>
          <w:rFonts w:hint="eastAsia" w:ascii="宋体" w:hAnsi="宋体" w:cs="宋体"/>
          <w:sz w:val="24"/>
          <w:szCs w:val="24"/>
        </w:rPr>
        <w:t>3、报价应以“包干制”的方式详细说明各种费用的构成（包括支出项目名称和单价）。</w:t>
      </w:r>
    </w:p>
    <w:p>
      <w:pPr>
        <w:tabs>
          <w:tab w:val="left" w:pos="3525"/>
        </w:tabs>
        <w:autoSpaceDN w:val="0"/>
        <w:spacing w:before="166" w:beforeLines="50" w:after="166" w:afterLines="50" w:line="440" w:lineRule="exact"/>
        <w:jc w:val="center"/>
        <w:rPr>
          <w:rFonts w:hint="eastAsia" w:ascii="宋体" w:hAnsi="宋体" w:cs="宋体"/>
          <w:b/>
          <w:bCs/>
          <w:sz w:val="28"/>
          <w:szCs w:val="28"/>
        </w:rPr>
      </w:pPr>
      <w:r>
        <w:rPr>
          <w:rFonts w:hint="eastAsia" w:ascii="宋体" w:hAnsi="宋体" w:cs="宋体"/>
          <w:b/>
          <w:bCs/>
          <w:sz w:val="28"/>
          <w:szCs w:val="28"/>
        </w:rPr>
        <w:t>（四）人员配置要求</w:t>
      </w:r>
    </w:p>
    <w:p>
      <w:pPr>
        <w:widowControl/>
        <w:snapToGrid w:val="0"/>
        <w:spacing w:line="440" w:lineRule="exact"/>
        <w:ind w:firstLine="480" w:firstLineChars="200"/>
        <w:jc w:val="left"/>
        <w:rPr>
          <w:rFonts w:hint="eastAsia" w:ascii="宋体" w:hAnsi="宋体" w:cs="宋体"/>
          <w:sz w:val="24"/>
          <w:szCs w:val="24"/>
        </w:rPr>
      </w:pPr>
      <w:r>
        <w:rPr>
          <w:rFonts w:hint="eastAsia" w:ascii="宋体" w:hAnsi="宋体" w:cs="宋体"/>
          <w:sz w:val="24"/>
          <w:szCs w:val="24"/>
        </w:rPr>
        <w:t>人员配置及工资福利具体要求：</w:t>
      </w:r>
    </w:p>
    <w:p>
      <w:pPr>
        <w:widowControl/>
        <w:shd w:val="clear" w:color="auto" w:fill="FFFFFF"/>
        <w:snapToGrid w:val="0"/>
        <w:spacing w:line="440" w:lineRule="exact"/>
        <w:jc w:val="center"/>
        <w:rPr>
          <w:rFonts w:hint="eastAsia" w:ascii="宋体" w:hAnsi="宋体" w:cs="宋体"/>
          <w:b/>
          <w:bCs/>
          <w:kern w:val="0"/>
          <w:sz w:val="28"/>
          <w:szCs w:val="28"/>
        </w:rPr>
      </w:pPr>
      <w:r>
        <w:rPr>
          <w:rFonts w:hint="eastAsia" w:ascii="宋体" w:hAnsi="宋体" w:cs="宋体"/>
          <w:b/>
          <w:bCs/>
          <w:kern w:val="0"/>
          <w:sz w:val="28"/>
          <w:szCs w:val="28"/>
        </w:rPr>
        <w:t>管理服务人员配备、工资、五险方案</w:t>
      </w:r>
    </w:p>
    <w:p>
      <w:pPr>
        <w:widowControl/>
        <w:shd w:val="clear" w:color="auto" w:fill="FFFFFF"/>
        <w:snapToGrid w:val="0"/>
        <w:spacing w:line="440" w:lineRule="exact"/>
        <w:ind w:left="1235" w:leftChars="588" w:firstLine="5889" w:firstLineChars="2454"/>
        <w:jc w:val="left"/>
        <w:rPr>
          <w:rFonts w:hint="eastAsia" w:ascii="宋体" w:hAnsi="宋体" w:cs="宋体"/>
          <w:kern w:val="0"/>
          <w:sz w:val="24"/>
          <w:szCs w:val="24"/>
        </w:rPr>
      </w:pPr>
      <w:r>
        <w:rPr>
          <w:rFonts w:hint="eastAsia" w:ascii="宋体" w:hAnsi="宋体" w:cs="宋体"/>
          <w:kern w:val="0"/>
          <w:sz w:val="24"/>
          <w:szCs w:val="24"/>
        </w:rPr>
        <w:t>单位： 元/月</w:t>
      </w:r>
    </w:p>
    <w:tbl>
      <w:tblPr>
        <w:tblStyle w:val="17"/>
        <w:tblW w:w="0" w:type="auto"/>
        <w:jc w:val="center"/>
        <w:tblLayout w:type="fixed"/>
        <w:tblCellMar>
          <w:top w:w="0" w:type="dxa"/>
          <w:left w:w="0" w:type="dxa"/>
          <w:bottom w:w="0" w:type="dxa"/>
          <w:right w:w="0" w:type="dxa"/>
        </w:tblCellMar>
      </w:tblPr>
      <w:tblGrid>
        <w:gridCol w:w="849"/>
        <w:gridCol w:w="1486"/>
        <w:gridCol w:w="1155"/>
        <w:gridCol w:w="1260"/>
        <w:gridCol w:w="1575"/>
        <w:gridCol w:w="1470"/>
        <w:gridCol w:w="1451"/>
      </w:tblGrid>
      <w:tr>
        <w:tblPrEx>
          <w:tblCellMar>
            <w:top w:w="0" w:type="dxa"/>
            <w:left w:w="0" w:type="dxa"/>
            <w:bottom w:w="0" w:type="dxa"/>
            <w:right w:w="0" w:type="dxa"/>
          </w:tblCellMar>
        </w:tblPrEx>
        <w:trPr>
          <w:trHeight w:val="300" w:hRule="atLeast"/>
          <w:jc w:val="center"/>
        </w:trPr>
        <w:tc>
          <w:tcPr>
            <w:tcW w:w="849"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napToGrid w:val="0"/>
              <w:jc w:val="center"/>
              <w:rPr>
                <w:rFonts w:hint="eastAsia" w:ascii="宋体" w:hAnsi="宋体" w:cs="宋体"/>
                <w:color w:val="FF0000"/>
                <w:kern w:val="0"/>
                <w:szCs w:val="21"/>
              </w:rPr>
            </w:pPr>
            <w:r>
              <w:rPr>
                <w:rFonts w:hint="eastAsia" w:ascii="宋体" w:hAnsi="宋体" w:cs="宋体"/>
                <w:color w:val="FF0000"/>
                <w:kern w:val="0"/>
                <w:szCs w:val="21"/>
              </w:rPr>
              <w:t>序号</w:t>
            </w:r>
          </w:p>
        </w:tc>
        <w:tc>
          <w:tcPr>
            <w:tcW w:w="1486"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napToGrid w:val="0"/>
              <w:jc w:val="center"/>
              <w:rPr>
                <w:rFonts w:hint="eastAsia" w:ascii="宋体" w:hAnsi="宋体" w:cs="宋体"/>
                <w:color w:val="FF0000"/>
                <w:kern w:val="0"/>
                <w:szCs w:val="21"/>
              </w:rPr>
            </w:pPr>
            <w:r>
              <w:rPr>
                <w:rFonts w:hint="eastAsia" w:ascii="宋体" w:hAnsi="宋体" w:cs="宋体"/>
                <w:color w:val="FF0000"/>
                <w:kern w:val="0"/>
                <w:szCs w:val="21"/>
              </w:rPr>
              <w:t>岗位设置</w:t>
            </w:r>
          </w:p>
        </w:tc>
        <w:tc>
          <w:tcPr>
            <w:tcW w:w="1155"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napToGrid w:val="0"/>
              <w:jc w:val="center"/>
              <w:rPr>
                <w:rFonts w:hint="eastAsia" w:ascii="宋体" w:hAnsi="宋体" w:cs="宋体"/>
                <w:color w:val="FF0000"/>
                <w:kern w:val="0"/>
                <w:szCs w:val="21"/>
              </w:rPr>
            </w:pPr>
            <w:r>
              <w:rPr>
                <w:rFonts w:hint="eastAsia" w:ascii="宋体" w:hAnsi="宋体" w:cs="宋体"/>
                <w:color w:val="FF0000"/>
                <w:kern w:val="0"/>
                <w:szCs w:val="21"/>
              </w:rPr>
              <w:t>配置人数</w:t>
            </w:r>
          </w:p>
        </w:tc>
        <w:tc>
          <w:tcPr>
            <w:tcW w:w="1260"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napToGrid w:val="0"/>
              <w:jc w:val="center"/>
              <w:rPr>
                <w:rFonts w:hint="eastAsia" w:ascii="宋体" w:hAnsi="宋体" w:cs="宋体"/>
                <w:color w:val="FF0000"/>
                <w:kern w:val="0"/>
                <w:szCs w:val="21"/>
              </w:rPr>
            </w:pPr>
            <w:r>
              <w:rPr>
                <w:rFonts w:hint="eastAsia" w:ascii="宋体" w:hAnsi="宋体" w:cs="宋体"/>
                <w:color w:val="FF0000"/>
                <w:kern w:val="0"/>
                <w:szCs w:val="21"/>
              </w:rPr>
              <w:t>工资标准</w:t>
            </w:r>
          </w:p>
        </w:tc>
        <w:tc>
          <w:tcPr>
            <w:tcW w:w="1575"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napToGrid w:val="0"/>
              <w:jc w:val="center"/>
              <w:rPr>
                <w:rFonts w:hint="eastAsia" w:ascii="宋体" w:hAnsi="宋体" w:cs="宋体"/>
                <w:color w:val="FF0000"/>
                <w:kern w:val="0"/>
                <w:szCs w:val="21"/>
              </w:rPr>
            </w:pPr>
            <w:r>
              <w:rPr>
                <w:rFonts w:hint="eastAsia" w:ascii="宋体" w:hAnsi="宋体" w:cs="宋体"/>
                <w:color w:val="FF0000"/>
                <w:kern w:val="0"/>
                <w:szCs w:val="21"/>
              </w:rPr>
              <w:t>五险标准</w:t>
            </w:r>
          </w:p>
        </w:tc>
        <w:tc>
          <w:tcPr>
            <w:tcW w:w="1470"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napToGrid w:val="0"/>
              <w:jc w:val="center"/>
              <w:rPr>
                <w:rFonts w:hint="eastAsia" w:ascii="宋体" w:hAnsi="宋体" w:cs="宋体"/>
                <w:color w:val="FF0000"/>
                <w:kern w:val="0"/>
                <w:szCs w:val="21"/>
              </w:rPr>
            </w:pPr>
            <w:r>
              <w:rPr>
                <w:rFonts w:hint="eastAsia" w:ascii="宋体" w:hAnsi="宋体" w:cs="宋体"/>
                <w:color w:val="FF0000"/>
                <w:kern w:val="0"/>
                <w:szCs w:val="21"/>
              </w:rPr>
              <w:t>合计</w:t>
            </w:r>
          </w:p>
        </w:tc>
        <w:tc>
          <w:tcPr>
            <w:tcW w:w="1451"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napToGrid w:val="0"/>
              <w:jc w:val="center"/>
              <w:rPr>
                <w:rFonts w:hint="eastAsia" w:ascii="宋体" w:hAnsi="宋体" w:cs="宋体"/>
                <w:color w:val="FF0000"/>
                <w:kern w:val="0"/>
                <w:szCs w:val="21"/>
              </w:rPr>
            </w:pPr>
            <w:r>
              <w:rPr>
                <w:rFonts w:hint="eastAsia" w:ascii="宋体" w:hAnsi="宋体" w:cs="宋体"/>
                <w:color w:val="FF0000"/>
                <w:kern w:val="0"/>
                <w:szCs w:val="21"/>
              </w:rPr>
              <w:t>备注</w:t>
            </w:r>
          </w:p>
        </w:tc>
      </w:tr>
      <w:tr>
        <w:tblPrEx>
          <w:tblCellMar>
            <w:top w:w="0" w:type="dxa"/>
            <w:left w:w="0" w:type="dxa"/>
            <w:bottom w:w="0" w:type="dxa"/>
            <w:right w:w="0" w:type="dxa"/>
          </w:tblCellMar>
        </w:tblPrEx>
        <w:trPr>
          <w:jc w:val="center"/>
        </w:trPr>
        <w:tc>
          <w:tcPr>
            <w:tcW w:w="849"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jc w:val="center"/>
              <w:textAlignment w:val="center"/>
              <w:rPr>
                <w:rFonts w:hint="eastAsia" w:ascii="宋体" w:hAnsi="宋体" w:cs="宋体"/>
                <w:color w:val="FF0000"/>
                <w:kern w:val="0"/>
                <w:szCs w:val="21"/>
              </w:rPr>
            </w:pPr>
            <w:r>
              <w:rPr>
                <w:rFonts w:hint="eastAsia" w:ascii="宋体" w:hAnsi="宋体" w:cs="宋体"/>
                <w:color w:val="FF0000"/>
                <w:kern w:val="0"/>
                <w:szCs w:val="21"/>
                <w:lang w:bidi="ar"/>
              </w:rPr>
              <w:t>1</w:t>
            </w:r>
          </w:p>
        </w:tc>
        <w:tc>
          <w:tcPr>
            <w:tcW w:w="1486"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jc w:val="center"/>
              <w:textAlignment w:val="center"/>
              <w:rPr>
                <w:rFonts w:hint="eastAsia" w:ascii="宋体" w:hAnsi="宋体" w:cs="宋体"/>
                <w:color w:val="FF0000"/>
                <w:kern w:val="0"/>
                <w:szCs w:val="21"/>
                <w:highlight w:val="yellow"/>
              </w:rPr>
            </w:pPr>
            <w:r>
              <w:rPr>
                <w:rFonts w:hint="eastAsia" w:ascii="宋体" w:hAnsi="宋体" w:cs="宋体"/>
                <w:color w:val="FF0000"/>
                <w:kern w:val="0"/>
                <w:szCs w:val="21"/>
                <w:lang w:bidi="ar"/>
              </w:rPr>
              <w:t>项目经理</w:t>
            </w:r>
          </w:p>
        </w:tc>
        <w:tc>
          <w:tcPr>
            <w:tcW w:w="1155"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jc w:val="center"/>
              <w:textAlignment w:val="center"/>
              <w:rPr>
                <w:rFonts w:hint="eastAsia" w:ascii="宋体" w:hAnsi="宋体" w:cs="宋体"/>
                <w:color w:val="FF0000"/>
                <w:kern w:val="0"/>
                <w:szCs w:val="21"/>
                <w:highlight w:val="yellow"/>
              </w:rPr>
            </w:pPr>
          </w:p>
        </w:tc>
        <w:tc>
          <w:tcPr>
            <w:tcW w:w="1260"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jc w:val="center"/>
              <w:textAlignment w:val="center"/>
              <w:rPr>
                <w:rFonts w:hint="eastAsia" w:ascii="宋体" w:hAnsi="宋体" w:cs="宋体"/>
                <w:color w:val="FF0000"/>
                <w:kern w:val="0"/>
                <w:szCs w:val="21"/>
                <w:highlight w:val="yellow"/>
              </w:rPr>
            </w:pPr>
          </w:p>
        </w:tc>
        <w:tc>
          <w:tcPr>
            <w:tcW w:w="1575"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textAlignment w:val="top"/>
              <w:rPr>
                <w:rFonts w:hint="eastAsia" w:ascii="宋体" w:hAnsi="宋体" w:cs="宋体"/>
                <w:color w:val="FF0000"/>
                <w:kern w:val="0"/>
                <w:szCs w:val="21"/>
              </w:rPr>
            </w:pPr>
          </w:p>
        </w:tc>
        <w:tc>
          <w:tcPr>
            <w:tcW w:w="1470"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jc w:val="left"/>
              <w:textAlignment w:val="top"/>
              <w:rPr>
                <w:rFonts w:hint="eastAsia" w:ascii="宋体" w:hAnsi="宋体" w:cs="宋体"/>
                <w:color w:val="FF0000"/>
                <w:kern w:val="0"/>
                <w:szCs w:val="21"/>
              </w:rPr>
            </w:pPr>
          </w:p>
        </w:tc>
        <w:tc>
          <w:tcPr>
            <w:tcW w:w="145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napToGrid w:val="0"/>
              <w:jc w:val="center"/>
              <w:rPr>
                <w:rFonts w:hint="eastAsia" w:ascii="宋体" w:hAnsi="宋体" w:cs="宋体"/>
                <w:color w:val="FF0000"/>
                <w:kern w:val="0"/>
                <w:szCs w:val="21"/>
              </w:rPr>
            </w:pPr>
            <w:r>
              <w:rPr>
                <w:rFonts w:hint="eastAsia" w:ascii="宋体" w:hAnsi="宋体" w:cs="宋体"/>
                <w:color w:val="FF0000"/>
                <w:kern w:val="0"/>
                <w:szCs w:val="21"/>
              </w:rPr>
              <w:t> </w:t>
            </w:r>
          </w:p>
        </w:tc>
      </w:tr>
      <w:tr>
        <w:tblPrEx>
          <w:tblCellMar>
            <w:top w:w="0" w:type="dxa"/>
            <w:left w:w="0" w:type="dxa"/>
            <w:bottom w:w="0" w:type="dxa"/>
            <w:right w:w="0" w:type="dxa"/>
          </w:tblCellMar>
        </w:tblPrEx>
        <w:trPr>
          <w:jc w:val="center"/>
        </w:trPr>
        <w:tc>
          <w:tcPr>
            <w:tcW w:w="849"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jc w:val="center"/>
              <w:textAlignment w:val="center"/>
              <w:rPr>
                <w:rFonts w:hint="eastAsia" w:ascii="宋体" w:hAnsi="宋体" w:cs="宋体"/>
                <w:color w:val="FF0000"/>
                <w:kern w:val="0"/>
                <w:szCs w:val="21"/>
              </w:rPr>
            </w:pPr>
            <w:r>
              <w:rPr>
                <w:rFonts w:hint="eastAsia" w:ascii="宋体" w:hAnsi="宋体" w:cs="宋体"/>
                <w:color w:val="FF0000"/>
                <w:kern w:val="0"/>
                <w:szCs w:val="21"/>
              </w:rPr>
              <w:t>2</w:t>
            </w:r>
          </w:p>
        </w:tc>
        <w:tc>
          <w:tcPr>
            <w:tcW w:w="1486"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jc w:val="center"/>
              <w:textAlignment w:val="center"/>
              <w:rPr>
                <w:rFonts w:hint="eastAsia" w:ascii="宋体" w:hAnsi="宋体" w:cs="宋体"/>
                <w:color w:val="FF0000"/>
                <w:kern w:val="0"/>
                <w:szCs w:val="21"/>
                <w:highlight w:val="yellow"/>
              </w:rPr>
            </w:pPr>
            <w:r>
              <w:rPr>
                <w:rFonts w:hint="eastAsia" w:ascii="宋体" w:hAnsi="宋体" w:cs="宋体"/>
                <w:color w:val="FF0000"/>
                <w:kern w:val="0"/>
                <w:szCs w:val="21"/>
                <w:lang w:bidi="ar"/>
              </w:rPr>
              <w:t>客服专员</w:t>
            </w:r>
          </w:p>
        </w:tc>
        <w:tc>
          <w:tcPr>
            <w:tcW w:w="1155"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jc w:val="center"/>
              <w:textAlignment w:val="center"/>
              <w:rPr>
                <w:rFonts w:hint="eastAsia" w:ascii="宋体" w:hAnsi="宋体" w:eastAsia="宋体" w:cs="宋体"/>
                <w:color w:val="FF0000"/>
                <w:kern w:val="0"/>
                <w:szCs w:val="21"/>
                <w:highlight w:val="yellow"/>
                <w:lang w:val="en-US" w:eastAsia="zh-CN"/>
              </w:rPr>
            </w:pPr>
          </w:p>
        </w:tc>
        <w:tc>
          <w:tcPr>
            <w:tcW w:w="1260"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jc w:val="center"/>
              <w:textAlignment w:val="center"/>
              <w:rPr>
                <w:rFonts w:hint="eastAsia" w:ascii="宋体" w:hAnsi="宋体" w:cs="宋体"/>
                <w:color w:val="FF0000"/>
                <w:kern w:val="0"/>
                <w:szCs w:val="21"/>
                <w:highlight w:val="yellow"/>
              </w:rPr>
            </w:pPr>
          </w:p>
        </w:tc>
        <w:tc>
          <w:tcPr>
            <w:tcW w:w="1575"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textAlignment w:val="top"/>
              <w:rPr>
                <w:rFonts w:hint="eastAsia" w:ascii="宋体" w:hAnsi="宋体" w:cs="宋体"/>
                <w:color w:val="FF0000"/>
                <w:szCs w:val="21"/>
              </w:rPr>
            </w:pPr>
          </w:p>
        </w:tc>
        <w:tc>
          <w:tcPr>
            <w:tcW w:w="1470"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jc w:val="left"/>
              <w:textAlignment w:val="top"/>
              <w:rPr>
                <w:rFonts w:hint="eastAsia" w:ascii="宋体" w:hAnsi="宋体" w:cs="宋体"/>
                <w:color w:val="FF0000"/>
                <w:kern w:val="0"/>
                <w:szCs w:val="21"/>
              </w:rPr>
            </w:pPr>
          </w:p>
        </w:tc>
        <w:tc>
          <w:tcPr>
            <w:tcW w:w="145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napToGrid w:val="0"/>
              <w:jc w:val="center"/>
              <w:rPr>
                <w:rFonts w:hint="eastAsia" w:ascii="宋体" w:hAnsi="宋体" w:cs="宋体"/>
                <w:color w:val="FF0000"/>
                <w:kern w:val="0"/>
                <w:szCs w:val="21"/>
              </w:rPr>
            </w:pPr>
            <w:r>
              <w:rPr>
                <w:rFonts w:hint="eastAsia" w:ascii="宋体" w:hAnsi="宋体" w:cs="宋体"/>
                <w:color w:val="FF0000"/>
                <w:kern w:val="0"/>
                <w:szCs w:val="21"/>
              </w:rPr>
              <w:t> </w:t>
            </w:r>
          </w:p>
        </w:tc>
      </w:tr>
      <w:tr>
        <w:tblPrEx>
          <w:tblCellMar>
            <w:top w:w="0" w:type="dxa"/>
            <w:left w:w="0" w:type="dxa"/>
            <w:bottom w:w="0" w:type="dxa"/>
            <w:right w:w="0" w:type="dxa"/>
          </w:tblCellMar>
        </w:tblPrEx>
        <w:trPr>
          <w:trHeight w:val="218" w:hRule="atLeast"/>
          <w:jc w:val="center"/>
        </w:trPr>
        <w:tc>
          <w:tcPr>
            <w:tcW w:w="849"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jc w:val="center"/>
              <w:textAlignment w:val="center"/>
              <w:rPr>
                <w:rFonts w:hint="eastAsia" w:ascii="宋体" w:hAnsi="宋体" w:cs="宋体"/>
                <w:color w:val="FF0000"/>
                <w:kern w:val="0"/>
                <w:szCs w:val="21"/>
              </w:rPr>
            </w:pPr>
            <w:r>
              <w:rPr>
                <w:rFonts w:hint="eastAsia" w:ascii="宋体" w:hAnsi="宋体" w:cs="宋体"/>
                <w:color w:val="FF0000"/>
                <w:kern w:val="0"/>
                <w:szCs w:val="21"/>
              </w:rPr>
              <w:t>3</w:t>
            </w:r>
          </w:p>
        </w:tc>
        <w:tc>
          <w:tcPr>
            <w:tcW w:w="1486"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jc w:val="center"/>
              <w:textAlignment w:val="center"/>
              <w:rPr>
                <w:rFonts w:hint="eastAsia" w:ascii="宋体" w:hAnsi="宋体" w:cs="宋体"/>
                <w:color w:val="FF0000"/>
                <w:kern w:val="0"/>
                <w:szCs w:val="21"/>
                <w:highlight w:val="yellow"/>
              </w:rPr>
            </w:pPr>
            <w:r>
              <w:rPr>
                <w:rFonts w:hint="eastAsia" w:ascii="宋体" w:hAnsi="宋体" w:cs="宋体"/>
                <w:color w:val="FF0000"/>
                <w:kern w:val="0"/>
                <w:szCs w:val="21"/>
                <w:lang w:bidi="ar"/>
              </w:rPr>
              <w:t>保洁员</w:t>
            </w:r>
          </w:p>
        </w:tc>
        <w:tc>
          <w:tcPr>
            <w:tcW w:w="1155"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jc w:val="center"/>
              <w:textAlignment w:val="center"/>
              <w:rPr>
                <w:rFonts w:hint="default" w:ascii="宋体" w:hAnsi="宋体" w:eastAsia="宋体" w:cs="宋体"/>
                <w:color w:val="FF0000"/>
                <w:kern w:val="0"/>
                <w:szCs w:val="21"/>
                <w:highlight w:val="yellow"/>
                <w:lang w:val="en-US" w:eastAsia="zh-CN"/>
              </w:rPr>
            </w:pPr>
          </w:p>
        </w:tc>
        <w:tc>
          <w:tcPr>
            <w:tcW w:w="1260"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jc w:val="center"/>
              <w:textAlignment w:val="center"/>
              <w:rPr>
                <w:rFonts w:hint="eastAsia" w:ascii="宋体" w:hAnsi="宋体" w:cs="宋体"/>
                <w:color w:val="FF0000"/>
                <w:kern w:val="0"/>
                <w:szCs w:val="21"/>
                <w:highlight w:val="yellow"/>
              </w:rPr>
            </w:pPr>
          </w:p>
        </w:tc>
        <w:tc>
          <w:tcPr>
            <w:tcW w:w="1575"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textAlignment w:val="top"/>
              <w:rPr>
                <w:rFonts w:hint="eastAsia" w:ascii="宋体" w:hAnsi="宋体" w:cs="宋体"/>
                <w:color w:val="FF0000"/>
                <w:szCs w:val="21"/>
              </w:rPr>
            </w:pPr>
          </w:p>
        </w:tc>
        <w:tc>
          <w:tcPr>
            <w:tcW w:w="1470"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jc w:val="left"/>
              <w:textAlignment w:val="top"/>
              <w:rPr>
                <w:rFonts w:hint="eastAsia" w:ascii="宋体" w:hAnsi="宋体" w:cs="宋体"/>
                <w:color w:val="FF0000"/>
                <w:kern w:val="0"/>
                <w:szCs w:val="21"/>
              </w:rPr>
            </w:pPr>
          </w:p>
        </w:tc>
        <w:tc>
          <w:tcPr>
            <w:tcW w:w="145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napToGrid w:val="0"/>
              <w:jc w:val="center"/>
              <w:rPr>
                <w:rFonts w:hint="eastAsia" w:ascii="宋体" w:hAnsi="宋体" w:cs="宋体"/>
                <w:color w:val="FF0000"/>
                <w:kern w:val="0"/>
                <w:szCs w:val="21"/>
              </w:rPr>
            </w:pPr>
            <w:r>
              <w:rPr>
                <w:rFonts w:hint="eastAsia" w:ascii="宋体" w:hAnsi="宋体" w:cs="宋体"/>
                <w:color w:val="FF0000"/>
                <w:kern w:val="0"/>
                <w:szCs w:val="21"/>
              </w:rPr>
              <w:t> </w:t>
            </w:r>
          </w:p>
        </w:tc>
      </w:tr>
      <w:tr>
        <w:tblPrEx>
          <w:tblCellMar>
            <w:top w:w="0" w:type="dxa"/>
            <w:left w:w="0" w:type="dxa"/>
            <w:bottom w:w="0" w:type="dxa"/>
            <w:right w:w="0" w:type="dxa"/>
          </w:tblCellMar>
        </w:tblPrEx>
        <w:trPr>
          <w:jc w:val="center"/>
        </w:trPr>
        <w:tc>
          <w:tcPr>
            <w:tcW w:w="849"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jc w:val="center"/>
              <w:textAlignment w:val="center"/>
              <w:rPr>
                <w:rFonts w:hint="eastAsia" w:ascii="宋体" w:hAnsi="宋体" w:cs="宋体"/>
                <w:color w:val="FF0000"/>
                <w:kern w:val="0"/>
                <w:szCs w:val="21"/>
              </w:rPr>
            </w:pPr>
            <w:r>
              <w:rPr>
                <w:rFonts w:hint="eastAsia" w:ascii="宋体" w:hAnsi="宋体" w:cs="宋体"/>
                <w:color w:val="FF0000"/>
                <w:kern w:val="0"/>
                <w:szCs w:val="21"/>
              </w:rPr>
              <w:t>4</w:t>
            </w:r>
          </w:p>
        </w:tc>
        <w:tc>
          <w:tcPr>
            <w:tcW w:w="1486"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jc w:val="center"/>
              <w:textAlignment w:val="center"/>
              <w:rPr>
                <w:rFonts w:hint="eastAsia" w:ascii="宋体" w:hAnsi="宋体" w:cs="宋体"/>
                <w:color w:val="FF0000"/>
                <w:kern w:val="0"/>
                <w:szCs w:val="21"/>
                <w:highlight w:val="yellow"/>
              </w:rPr>
            </w:pPr>
            <w:r>
              <w:rPr>
                <w:rFonts w:hint="eastAsia" w:ascii="宋体" w:hAnsi="宋体" w:cs="宋体"/>
                <w:color w:val="FF0000"/>
                <w:kern w:val="0"/>
                <w:szCs w:val="21"/>
                <w:lang w:bidi="ar"/>
              </w:rPr>
              <w:t>秩序维护员</w:t>
            </w:r>
          </w:p>
        </w:tc>
        <w:tc>
          <w:tcPr>
            <w:tcW w:w="1155"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jc w:val="center"/>
              <w:textAlignment w:val="center"/>
              <w:rPr>
                <w:rFonts w:hint="default" w:ascii="宋体" w:hAnsi="宋体" w:eastAsia="宋体" w:cs="宋体"/>
                <w:color w:val="FF0000"/>
                <w:kern w:val="0"/>
                <w:szCs w:val="21"/>
                <w:highlight w:val="yellow"/>
                <w:lang w:val="en-US" w:eastAsia="zh-CN"/>
              </w:rPr>
            </w:pPr>
          </w:p>
        </w:tc>
        <w:tc>
          <w:tcPr>
            <w:tcW w:w="1260"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jc w:val="center"/>
              <w:textAlignment w:val="center"/>
              <w:rPr>
                <w:rFonts w:hint="eastAsia" w:ascii="宋体" w:hAnsi="宋体" w:cs="宋体"/>
                <w:color w:val="FF0000"/>
                <w:kern w:val="0"/>
                <w:szCs w:val="21"/>
                <w:highlight w:val="yellow"/>
              </w:rPr>
            </w:pPr>
          </w:p>
        </w:tc>
        <w:tc>
          <w:tcPr>
            <w:tcW w:w="1575"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textAlignment w:val="top"/>
              <w:rPr>
                <w:rFonts w:hint="eastAsia" w:ascii="宋体" w:hAnsi="宋体" w:cs="宋体"/>
                <w:color w:val="FF0000"/>
                <w:szCs w:val="21"/>
              </w:rPr>
            </w:pPr>
          </w:p>
        </w:tc>
        <w:tc>
          <w:tcPr>
            <w:tcW w:w="1470"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jc w:val="left"/>
              <w:textAlignment w:val="top"/>
              <w:rPr>
                <w:rFonts w:hint="eastAsia" w:ascii="宋体" w:hAnsi="宋体" w:cs="宋体"/>
                <w:color w:val="FF0000"/>
                <w:kern w:val="0"/>
                <w:szCs w:val="21"/>
              </w:rPr>
            </w:pPr>
          </w:p>
        </w:tc>
        <w:tc>
          <w:tcPr>
            <w:tcW w:w="145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napToGrid w:val="0"/>
              <w:jc w:val="center"/>
              <w:rPr>
                <w:rFonts w:hint="eastAsia" w:ascii="宋体" w:hAnsi="宋体" w:cs="宋体"/>
                <w:color w:val="FF0000"/>
                <w:kern w:val="0"/>
                <w:szCs w:val="21"/>
              </w:rPr>
            </w:pPr>
            <w:r>
              <w:rPr>
                <w:rFonts w:hint="eastAsia" w:ascii="宋体" w:hAnsi="宋体" w:cs="宋体"/>
                <w:color w:val="FF0000"/>
                <w:kern w:val="0"/>
                <w:szCs w:val="21"/>
              </w:rPr>
              <w:t> </w:t>
            </w:r>
          </w:p>
        </w:tc>
      </w:tr>
      <w:tr>
        <w:tblPrEx>
          <w:tblCellMar>
            <w:top w:w="0" w:type="dxa"/>
            <w:left w:w="0" w:type="dxa"/>
            <w:bottom w:w="0" w:type="dxa"/>
            <w:right w:w="0" w:type="dxa"/>
          </w:tblCellMar>
        </w:tblPrEx>
        <w:trPr>
          <w:jc w:val="center"/>
        </w:trPr>
        <w:tc>
          <w:tcPr>
            <w:tcW w:w="849"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jc w:val="center"/>
              <w:textAlignment w:val="center"/>
              <w:rPr>
                <w:rFonts w:hint="eastAsia" w:ascii="宋体" w:hAnsi="宋体" w:cs="宋体"/>
                <w:color w:val="FF0000"/>
                <w:kern w:val="0"/>
                <w:szCs w:val="21"/>
              </w:rPr>
            </w:pPr>
            <w:r>
              <w:rPr>
                <w:rFonts w:hint="eastAsia" w:ascii="宋体" w:hAnsi="宋体" w:cs="宋体"/>
                <w:color w:val="FF0000"/>
                <w:kern w:val="0"/>
                <w:szCs w:val="21"/>
              </w:rPr>
              <w:t>5</w:t>
            </w:r>
          </w:p>
        </w:tc>
        <w:tc>
          <w:tcPr>
            <w:tcW w:w="1486"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jc w:val="center"/>
              <w:textAlignment w:val="center"/>
              <w:rPr>
                <w:rFonts w:hint="eastAsia" w:ascii="宋体" w:hAnsi="宋体" w:cs="宋体"/>
                <w:color w:val="FF0000"/>
                <w:kern w:val="0"/>
                <w:szCs w:val="21"/>
                <w:highlight w:val="yellow"/>
              </w:rPr>
            </w:pPr>
            <w:r>
              <w:rPr>
                <w:rFonts w:hint="eastAsia" w:ascii="宋体" w:hAnsi="宋体" w:cs="宋体"/>
                <w:color w:val="FF0000"/>
                <w:kern w:val="0"/>
                <w:szCs w:val="21"/>
                <w:lang w:bidi="ar"/>
              </w:rPr>
              <w:t>绿化员</w:t>
            </w:r>
          </w:p>
        </w:tc>
        <w:tc>
          <w:tcPr>
            <w:tcW w:w="1155"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jc w:val="center"/>
              <w:textAlignment w:val="center"/>
              <w:rPr>
                <w:rFonts w:hint="default" w:ascii="宋体" w:hAnsi="宋体" w:eastAsia="宋体" w:cs="宋体"/>
                <w:color w:val="FF0000"/>
                <w:kern w:val="0"/>
                <w:szCs w:val="21"/>
                <w:highlight w:val="yellow"/>
                <w:lang w:val="en-US" w:eastAsia="zh-CN"/>
              </w:rPr>
            </w:pPr>
          </w:p>
        </w:tc>
        <w:tc>
          <w:tcPr>
            <w:tcW w:w="1260"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jc w:val="center"/>
              <w:textAlignment w:val="center"/>
              <w:rPr>
                <w:rFonts w:hint="eastAsia" w:ascii="宋体" w:hAnsi="宋体" w:cs="宋体"/>
                <w:color w:val="FF0000"/>
                <w:kern w:val="0"/>
                <w:szCs w:val="21"/>
                <w:highlight w:val="yellow"/>
              </w:rPr>
            </w:pPr>
          </w:p>
        </w:tc>
        <w:tc>
          <w:tcPr>
            <w:tcW w:w="1575"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textAlignment w:val="top"/>
              <w:rPr>
                <w:rFonts w:hint="eastAsia" w:ascii="宋体" w:hAnsi="宋体" w:cs="宋体"/>
                <w:color w:val="FF0000"/>
                <w:szCs w:val="21"/>
              </w:rPr>
            </w:pPr>
          </w:p>
        </w:tc>
        <w:tc>
          <w:tcPr>
            <w:tcW w:w="1470"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jc w:val="left"/>
              <w:textAlignment w:val="top"/>
              <w:rPr>
                <w:rFonts w:hint="eastAsia" w:ascii="宋体" w:hAnsi="宋体" w:cs="宋体"/>
                <w:color w:val="FF0000"/>
                <w:kern w:val="0"/>
                <w:szCs w:val="21"/>
              </w:rPr>
            </w:pPr>
          </w:p>
        </w:tc>
        <w:tc>
          <w:tcPr>
            <w:tcW w:w="145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napToGrid w:val="0"/>
              <w:jc w:val="center"/>
              <w:rPr>
                <w:rFonts w:hint="eastAsia" w:ascii="宋体" w:hAnsi="宋体" w:cs="宋体"/>
                <w:color w:val="FF0000"/>
                <w:kern w:val="0"/>
                <w:szCs w:val="21"/>
              </w:rPr>
            </w:pPr>
            <w:r>
              <w:rPr>
                <w:rFonts w:hint="eastAsia" w:ascii="宋体" w:hAnsi="宋体" w:cs="宋体"/>
                <w:color w:val="FF0000"/>
                <w:kern w:val="0"/>
                <w:szCs w:val="21"/>
              </w:rPr>
              <w:t> </w:t>
            </w:r>
          </w:p>
        </w:tc>
      </w:tr>
      <w:tr>
        <w:tblPrEx>
          <w:tblCellMar>
            <w:top w:w="0" w:type="dxa"/>
            <w:left w:w="0" w:type="dxa"/>
            <w:bottom w:w="0" w:type="dxa"/>
            <w:right w:w="0" w:type="dxa"/>
          </w:tblCellMar>
        </w:tblPrEx>
        <w:trPr>
          <w:jc w:val="center"/>
        </w:trPr>
        <w:tc>
          <w:tcPr>
            <w:tcW w:w="849"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jc w:val="center"/>
              <w:textAlignment w:val="center"/>
              <w:rPr>
                <w:rFonts w:hint="eastAsia" w:ascii="宋体" w:hAnsi="宋体" w:cs="宋体"/>
                <w:color w:val="FF0000"/>
                <w:kern w:val="0"/>
                <w:szCs w:val="21"/>
              </w:rPr>
            </w:pPr>
            <w:r>
              <w:rPr>
                <w:rFonts w:hint="eastAsia" w:ascii="宋体" w:hAnsi="宋体" w:cs="宋体"/>
                <w:color w:val="FF0000"/>
                <w:kern w:val="0"/>
                <w:szCs w:val="21"/>
              </w:rPr>
              <w:t>6</w:t>
            </w:r>
          </w:p>
        </w:tc>
        <w:tc>
          <w:tcPr>
            <w:tcW w:w="1486"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jc w:val="center"/>
              <w:textAlignment w:val="center"/>
              <w:rPr>
                <w:rFonts w:hint="eastAsia" w:ascii="宋体" w:hAnsi="宋体" w:cs="宋体"/>
                <w:color w:val="FF0000"/>
                <w:kern w:val="0"/>
                <w:szCs w:val="21"/>
                <w:highlight w:val="yellow"/>
              </w:rPr>
            </w:pPr>
            <w:r>
              <w:rPr>
                <w:rFonts w:hint="eastAsia" w:ascii="宋体" w:hAnsi="宋体" w:cs="宋体"/>
                <w:color w:val="FF0000"/>
                <w:kern w:val="0"/>
                <w:szCs w:val="21"/>
                <w:lang w:bidi="ar"/>
              </w:rPr>
              <w:t>维修员</w:t>
            </w:r>
          </w:p>
        </w:tc>
        <w:tc>
          <w:tcPr>
            <w:tcW w:w="1155"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jc w:val="center"/>
              <w:textAlignment w:val="center"/>
              <w:rPr>
                <w:rFonts w:hint="default" w:ascii="宋体" w:hAnsi="宋体" w:eastAsia="宋体" w:cs="宋体"/>
                <w:color w:val="FF0000"/>
                <w:kern w:val="0"/>
                <w:szCs w:val="21"/>
                <w:highlight w:val="yellow"/>
                <w:lang w:val="en-US" w:eastAsia="zh-CN"/>
              </w:rPr>
            </w:pPr>
          </w:p>
        </w:tc>
        <w:tc>
          <w:tcPr>
            <w:tcW w:w="1260"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jc w:val="center"/>
              <w:textAlignment w:val="center"/>
              <w:rPr>
                <w:rFonts w:hint="eastAsia" w:ascii="宋体" w:hAnsi="宋体" w:cs="宋体"/>
                <w:color w:val="FF0000"/>
                <w:kern w:val="0"/>
                <w:szCs w:val="21"/>
                <w:highlight w:val="yellow"/>
              </w:rPr>
            </w:pPr>
          </w:p>
        </w:tc>
        <w:tc>
          <w:tcPr>
            <w:tcW w:w="1575"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textAlignment w:val="top"/>
              <w:rPr>
                <w:rFonts w:hint="eastAsia" w:ascii="宋体" w:hAnsi="宋体" w:cs="宋体"/>
                <w:color w:val="FF0000"/>
                <w:szCs w:val="21"/>
              </w:rPr>
            </w:pPr>
          </w:p>
        </w:tc>
        <w:tc>
          <w:tcPr>
            <w:tcW w:w="1470"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jc w:val="left"/>
              <w:textAlignment w:val="top"/>
              <w:rPr>
                <w:rFonts w:hint="eastAsia" w:ascii="宋体" w:hAnsi="宋体" w:cs="宋体"/>
                <w:color w:val="FF0000"/>
                <w:kern w:val="0"/>
                <w:szCs w:val="21"/>
              </w:rPr>
            </w:pPr>
          </w:p>
        </w:tc>
        <w:tc>
          <w:tcPr>
            <w:tcW w:w="145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napToGrid w:val="0"/>
              <w:jc w:val="center"/>
              <w:rPr>
                <w:rFonts w:hint="eastAsia" w:ascii="宋体" w:hAnsi="宋体" w:cs="宋体"/>
                <w:color w:val="FF0000"/>
                <w:kern w:val="0"/>
                <w:szCs w:val="21"/>
              </w:rPr>
            </w:pPr>
            <w:r>
              <w:rPr>
                <w:rFonts w:hint="eastAsia" w:ascii="宋体" w:hAnsi="宋体" w:cs="宋体"/>
                <w:color w:val="FF0000"/>
                <w:kern w:val="0"/>
                <w:szCs w:val="21"/>
              </w:rPr>
              <w:t> </w:t>
            </w:r>
          </w:p>
        </w:tc>
      </w:tr>
      <w:tr>
        <w:tblPrEx>
          <w:tblCellMar>
            <w:top w:w="0" w:type="dxa"/>
            <w:left w:w="0" w:type="dxa"/>
            <w:bottom w:w="0" w:type="dxa"/>
            <w:right w:w="0" w:type="dxa"/>
          </w:tblCellMar>
        </w:tblPrEx>
        <w:trPr>
          <w:jc w:val="center"/>
        </w:trPr>
        <w:tc>
          <w:tcPr>
            <w:tcW w:w="2335" w:type="dxa"/>
            <w:gridSpan w:val="2"/>
            <w:tcBorders>
              <w:top w:val="nil"/>
              <w:left w:val="single" w:color="auto" w:sz="8" w:space="0"/>
              <w:bottom w:val="single" w:color="auto" w:sz="8" w:space="0"/>
              <w:right w:val="single" w:color="auto" w:sz="8" w:space="0"/>
            </w:tcBorders>
            <w:shd w:val="clear" w:color="auto" w:fill="FFFFFF"/>
            <w:noWrap w:val="0"/>
            <w:vAlign w:val="center"/>
          </w:tcPr>
          <w:p>
            <w:pPr>
              <w:widowControl/>
              <w:jc w:val="center"/>
              <w:textAlignment w:val="center"/>
              <w:rPr>
                <w:rFonts w:hint="eastAsia" w:ascii="宋体" w:hAnsi="宋体" w:cs="宋体"/>
                <w:color w:val="FF0000"/>
                <w:kern w:val="0"/>
                <w:szCs w:val="21"/>
                <w:highlight w:val="yellow"/>
              </w:rPr>
            </w:pPr>
            <w:r>
              <w:rPr>
                <w:rFonts w:hint="eastAsia" w:ascii="宋体" w:hAnsi="宋体" w:cs="宋体"/>
                <w:color w:val="FF0000"/>
                <w:kern w:val="0"/>
                <w:szCs w:val="21"/>
                <w:lang w:bidi="ar"/>
              </w:rPr>
              <w:t>合计</w:t>
            </w:r>
          </w:p>
        </w:tc>
        <w:tc>
          <w:tcPr>
            <w:tcW w:w="1155"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jc w:val="center"/>
              <w:textAlignment w:val="center"/>
              <w:rPr>
                <w:rFonts w:hint="default" w:ascii="宋体" w:hAnsi="宋体" w:eastAsia="宋体" w:cs="宋体"/>
                <w:color w:val="FF0000"/>
                <w:kern w:val="0"/>
                <w:szCs w:val="21"/>
                <w:highlight w:val="yellow"/>
                <w:lang w:val="en-US" w:eastAsia="zh-CN"/>
              </w:rPr>
            </w:pPr>
          </w:p>
        </w:tc>
        <w:tc>
          <w:tcPr>
            <w:tcW w:w="1260"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jc w:val="center"/>
              <w:rPr>
                <w:rFonts w:hint="eastAsia" w:ascii="宋体" w:hAnsi="宋体" w:cs="宋体"/>
                <w:color w:val="FF0000"/>
                <w:kern w:val="0"/>
                <w:szCs w:val="21"/>
                <w:highlight w:val="yellow"/>
              </w:rPr>
            </w:pPr>
          </w:p>
        </w:tc>
        <w:tc>
          <w:tcPr>
            <w:tcW w:w="1575"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jc w:val="center"/>
              <w:rPr>
                <w:rFonts w:hint="eastAsia" w:ascii="宋体" w:hAnsi="宋体" w:cs="宋体"/>
                <w:color w:val="FF0000"/>
                <w:kern w:val="0"/>
                <w:szCs w:val="21"/>
              </w:rPr>
            </w:pPr>
          </w:p>
        </w:tc>
        <w:tc>
          <w:tcPr>
            <w:tcW w:w="1470"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jc w:val="left"/>
              <w:textAlignment w:val="top"/>
              <w:rPr>
                <w:rFonts w:hint="eastAsia" w:ascii="宋体" w:hAnsi="宋体" w:cs="宋体"/>
                <w:color w:val="FF0000"/>
                <w:kern w:val="0"/>
                <w:szCs w:val="21"/>
              </w:rPr>
            </w:pPr>
          </w:p>
        </w:tc>
        <w:tc>
          <w:tcPr>
            <w:tcW w:w="1451"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napToGrid w:val="0"/>
              <w:jc w:val="center"/>
              <w:rPr>
                <w:rFonts w:hint="eastAsia" w:ascii="宋体" w:hAnsi="宋体" w:cs="宋体"/>
                <w:color w:val="FF0000"/>
                <w:kern w:val="0"/>
                <w:szCs w:val="21"/>
              </w:rPr>
            </w:pPr>
            <w:r>
              <w:rPr>
                <w:rFonts w:hint="eastAsia" w:ascii="宋体" w:hAnsi="宋体" w:cs="宋体"/>
                <w:color w:val="FF0000"/>
                <w:kern w:val="0"/>
                <w:szCs w:val="21"/>
              </w:rPr>
              <w:t> </w:t>
            </w:r>
          </w:p>
        </w:tc>
      </w:tr>
    </w:tbl>
    <w:p>
      <w:pPr>
        <w:snapToGrid w:val="0"/>
        <w:spacing w:line="440" w:lineRule="exact"/>
        <w:ind w:firstLine="480" w:firstLineChars="200"/>
        <w:rPr>
          <w:rFonts w:hint="eastAsia" w:ascii="宋体" w:hAnsi="宋体" w:cs="宋体"/>
          <w:b/>
          <w:bCs/>
          <w:sz w:val="28"/>
          <w:szCs w:val="28"/>
        </w:rPr>
      </w:pPr>
      <w:r>
        <w:rPr>
          <w:rFonts w:hint="eastAsia" w:ascii="宋体" w:hAnsi="宋体" w:cs="宋体"/>
          <w:sz w:val="24"/>
          <w:szCs w:val="24"/>
        </w:rPr>
        <w:t>投标人应根据招标人提出的服务人员数量如实配置，预算费用。中标后不得自行裁减人数，或者向招标人提出增加人员而要求增加费用。</w:t>
      </w:r>
    </w:p>
    <w:p>
      <w:pPr>
        <w:tabs>
          <w:tab w:val="left" w:pos="3525"/>
        </w:tabs>
        <w:autoSpaceDN w:val="0"/>
        <w:spacing w:before="166" w:beforeLines="50" w:after="166" w:afterLines="50" w:line="440" w:lineRule="exact"/>
        <w:jc w:val="center"/>
        <w:rPr>
          <w:rFonts w:hint="eastAsia" w:ascii="宋体" w:hAnsi="宋体" w:cs="宋体"/>
          <w:b/>
          <w:bCs/>
          <w:sz w:val="28"/>
          <w:szCs w:val="28"/>
        </w:rPr>
      </w:pPr>
      <w:r>
        <w:rPr>
          <w:rFonts w:hint="eastAsia" w:ascii="宋体" w:hAnsi="宋体" w:cs="宋体"/>
          <w:b/>
          <w:bCs/>
          <w:sz w:val="28"/>
          <w:szCs w:val="28"/>
        </w:rPr>
        <w:t>（五）物业服务期限</w:t>
      </w:r>
    </w:p>
    <w:p>
      <w:pPr>
        <w:snapToGrid w:val="0"/>
        <w:spacing w:line="360" w:lineRule="auto"/>
        <w:ind w:firstLine="480" w:firstLineChars="200"/>
        <w:rPr>
          <w:rFonts w:hint="eastAsia" w:ascii="宋体" w:hAnsi="宋体" w:cs="宋体"/>
          <w:color w:val="auto"/>
          <w:sz w:val="24"/>
          <w:szCs w:val="24"/>
        </w:rPr>
      </w:pPr>
      <w:r>
        <w:rPr>
          <w:rFonts w:hint="eastAsia"/>
          <w:sz w:val="24"/>
          <w:szCs w:val="24"/>
          <w:lang w:eastAsia="zh-CN"/>
        </w:rPr>
        <w:t>阜阳市颍泉区金马爱梦天宸前期物业管理项目</w:t>
      </w:r>
      <w:r>
        <w:rPr>
          <w:rFonts w:hint="eastAsia" w:ascii="宋体" w:hAnsi="宋体" w:cs="宋体"/>
          <w:kern w:val="0"/>
          <w:sz w:val="24"/>
          <w:szCs w:val="24"/>
        </w:rPr>
        <w:t>，服务期限：</w:t>
      </w:r>
      <w:r>
        <w:rPr>
          <w:rFonts w:hint="eastAsia" w:ascii="宋体" w:hAnsi="宋体" w:eastAsia="宋体" w:cs="宋体"/>
          <w:color w:val="auto"/>
          <w:kern w:val="2"/>
          <w:sz w:val="24"/>
          <w:szCs w:val="22"/>
          <w:shd w:val="clear" w:color="auto" w:fill="auto"/>
          <w:lang w:val="en-US" w:eastAsia="zh-CN" w:bidi="ar-SA"/>
        </w:rPr>
        <w:t>三年，若前期物业合同到期后，业委会未成立，则前期物业服务合同顺延至业委会成立并选聘新的物业公司签订合同时终止</w:t>
      </w:r>
      <w:r>
        <w:rPr>
          <w:rFonts w:hint="eastAsia" w:ascii="宋体" w:hAnsi="宋体" w:eastAsia="宋体" w:cs="宋体"/>
          <w:color w:val="auto"/>
          <w:kern w:val="0"/>
          <w:sz w:val="24"/>
        </w:rPr>
        <w:t>。</w:t>
      </w:r>
      <w:r>
        <w:rPr>
          <w:rFonts w:hint="eastAsia" w:ascii="宋体" w:hAnsi="宋体" w:cs="宋体"/>
          <w:color w:val="auto"/>
          <w:sz w:val="24"/>
          <w:szCs w:val="24"/>
        </w:rPr>
        <w:t xml:space="preserve">       </w:t>
      </w:r>
    </w:p>
    <w:p>
      <w:pPr>
        <w:pStyle w:val="3"/>
        <w:numPr>
          <w:ilvl w:val="0"/>
          <w:numId w:val="0"/>
        </w:numPr>
        <w:tabs>
          <w:tab w:val="left" w:pos="1155"/>
        </w:tabs>
        <w:jc w:val="center"/>
        <w:rPr>
          <w:rFonts w:hint="eastAsia" w:ascii="宋体" w:hAnsi="宋体" w:eastAsia="宋体" w:cs="宋体"/>
          <w:b/>
          <w:bCs/>
          <w:sz w:val="32"/>
          <w:szCs w:val="32"/>
        </w:rPr>
      </w:pPr>
      <w:r>
        <w:rPr>
          <w:rFonts w:hint="eastAsia" w:ascii="宋体" w:hAnsi="宋体" w:eastAsia="宋体" w:cs="宋体"/>
          <w:sz w:val="24"/>
          <w:szCs w:val="24"/>
        </w:rPr>
        <w:br w:type="page"/>
      </w:r>
      <w:bookmarkStart w:id="39" w:name="_Toc32747"/>
      <w:bookmarkStart w:id="40" w:name="_Toc438822079"/>
      <w:r>
        <w:rPr>
          <w:rFonts w:hint="eastAsia" w:ascii="宋体" w:hAnsi="宋体" w:cs="宋体"/>
          <w:b/>
          <w:bCs/>
          <w:sz w:val="32"/>
          <w:szCs w:val="32"/>
          <w:lang w:eastAsia="zh-CN"/>
        </w:rPr>
        <w:t>第四章、</w:t>
      </w:r>
      <w:r>
        <w:rPr>
          <w:rFonts w:hint="eastAsia" w:ascii="宋体" w:hAnsi="宋体" w:eastAsia="宋体" w:cs="宋体"/>
          <w:b/>
          <w:bCs/>
          <w:sz w:val="32"/>
          <w:szCs w:val="32"/>
        </w:rPr>
        <w:t xml:space="preserve"> 合同条款及格式</w:t>
      </w:r>
      <w:bookmarkEnd w:id="39"/>
      <w:bookmarkEnd w:id="40"/>
    </w:p>
    <w:p>
      <w:pPr>
        <w:pStyle w:val="14"/>
        <w:snapToGrid w:val="0"/>
        <w:spacing w:before="0" w:beforeAutospacing="0" w:after="166" w:afterLines="50"/>
        <w:jc w:val="center"/>
        <w:rPr>
          <w:rStyle w:val="20"/>
          <w:rFonts w:hint="eastAsia" w:ascii="宋体" w:hAnsi="宋体" w:cs="宋体"/>
          <w:b w:val="0"/>
          <w:bCs w:val="0"/>
        </w:rPr>
      </w:pPr>
      <w:r>
        <w:rPr>
          <w:rStyle w:val="20"/>
          <w:rFonts w:hint="eastAsia" w:ascii="宋体" w:hAnsi="宋体" w:cs="宋体"/>
          <w:sz w:val="28"/>
          <w:szCs w:val="28"/>
        </w:rPr>
        <w:t>物业服务合同</w:t>
      </w:r>
    </w:p>
    <w:p>
      <w:pPr>
        <w:pStyle w:val="14"/>
        <w:snapToGrid w:val="0"/>
        <w:spacing w:before="0" w:beforeAutospacing="0" w:after="0"/>
        <w:ind w:firstLine="480" w:firstLineChars="200"/>
        <w:rPr>
          <w:rFonts w:hint="eastAsia" w:ascii="宋体" w:hAnsi="宋体" w:cs="宋体"/>
          <w:u w:val="single"/>
        </w:rPr>
      </w:pPr>
      <w:r>
        <w:rPr>
          <w:rFonts w:hint="eastAsia" w:ascii="宋体" w:hAnsi="宋体" w:cs="宋体"/>
        </w:rPr>
        <w:t>甲方（开发建设单位）：</w:t>
      </w:r>
      <w:r>
        <w:rPr>
          <w:rFonts w:hint="eastAsia" w:ascii="宋体" w:hAnsi="宋体" w:cs="宋体"/>
          <w:u w:val="single"/>
        </w:rPr>
        <w:t xml:space="preserve">                           </w:t>
      </w:r>
    </w:p>
    <w:p>
      <w:pPr>
        <w:pStyle w:val="14"/>
        <w:snapToGrid w:val="0"/>
        <w:spacing w:before="0" w:beforeAutospacing="0" w:after="0"/>
        <w:ind w:firstLine="480" w:firstLineChars="200"/>
        <w:rPr>
          <w:rFonts w:hint="eastAsia" w:ascii="宋体" w:hAnsi="宋体" w:cs="宋体"/>
          <w:u w:val="single"/>
        </w:rPr>
      </w:pPr>
      <w:r>
        <w:rPr>
          <w:rFonts w:hint="eastAsia" w:ascii="宋体" w:hAnsi="宋体" w:cs="宋体"/>
        </w:rPr>
        <w:t>营业执照注册</w:t>
      </w:r>
      <w:r>
        <w:rPr>
          <w:rFonts w:hint="eastAsia" w:ascii="宋体" w:hAnsi="宋体" w:cs="宋体"/>
          <w:u w:val="single"/>
        </w:rPr>
        <w:t xml:space="preserve">                                  </w:t>
      </w:r>
    </w:p>
    <w:p>
      <w:pPr>
        <w:pStyle w:val="14"/>
        <w:snapToGrid w:val="0"/>
        <w:spacing w:before="0" w:beforeAutospacing="0" w:after="0"/>
        <w:ind w:firstLine="480" w:firstLineChars="200"/>
        <w:rPr>
          <w:rFonts w:hint="eastAsia" w:ascii="宋体" w:hAnsi="宋体" w:cs="宋体"/>
          <w:u w:val="single"/>
        </w:rPr>
      </w:pPr>
      <w:r>
        <w:rPr>
          <w:rFonts w:hint="eastAsia" w:ascii="宋体" w:hAnsi="宋体" w:cs="宋体"/>
        </w:rPr>
        <w:t>组织机构代码：</w:t>
      </w:r>
      <w:r>
        <w:rPr>
          <w:rFonts w:hint="eastAsia" w:ascii="宋体" w:hAnsi="宋体" w:cs="宋体"/>
          <w:u w:val="single"/>
        </w:rPr>
        <w:t xml:space="preserve">                                          </w:t>
      </w:r>
    </w:p>
    <w:p>
      <w:pPr>
        <w:pStyle w:val="14"/>
        <w:snapToGrid w:val="0"/>
        <w:spacing w:before="0" w:beforeAutospacing="0" w:after="0"/>
        <w:ind w:firstLine="480" w:firstLineChars="200"/>
        <w:rPr>
          <w:rFonts w:hint="eastAsia" w:ascii="宋体" w:hAnsi="宋体" w:cs="宋体"/>
          <w:u w:val="single"/>
        </w:rPr>
      </w:pPr>
      <w:r>
        <w:rPr>
          <w:rFonts w:hint="eastAsia" w:ascii="宋体" w:hAnsi="宋体" w:cs="宋体"/>
        </w:rPr>
        <w:t>企业资质证书号：</w:t>
      </w:r>
      <w:r>
        <w:rPr>
          <w:rFonts w:hint="eastAsia" w:ascii="宋体" w:hAnsi="宋体" w:cs="宋体"/>
          <w:u w:val="single"/>
        </w:rPr>
        <w:t xml:space="preserve">                                        </w:t>
      </w:r>
    </w:p>
    <w:p>
      <w:pPr>
        <w:pStyle w:val="14"/>
        <w:snapToGrid w:val="0"/>
        <w:spacing w:before="0" w:beforeAutospacing="0" w:after="0"/>
        <w:ind w:firstLine="480" w:firstLineChars="200"/>
        <w:rPr>
          <w:rFonts w:hint="eastAsia" w:ascii="宋体" w:hAnsi="宋体" w:cs="宋体"/>
          <w:u w:val="single"/>
        </w:rPr>
      </w:pPr>
      <w:r>
        <w:rPr>
          <w:rFonts w:hint="eastAsia" w:ascii="宋体" w:hAnsi="宋体" w:cs="宋体"/>
        </w:rPr>
        <w:t>法定代表人：</w:t>
      </w:r>
      <w:r>
        <w:rPr>
          <w:rFonts w:hint="eastAsia" w:ascii="宋体" w:hAnsi="宋体" w:cs="宋体"/>
          <w:u w:val="single"/>
        </w:rPr>
        <w:t xml:space="preserve">            </w:t>
      </w:r>
      <w:r>
        <w:rPr>
          <w:rFonts w:hint="eastAsia" w:ascii="宋体" w:hAnsi="宋体" w:cs="宋体"/>
        </w:rPr>
        <w:t>联系电话：</w:t>
      </w:r>
      <w:r>
        <w:rPr>
          <w:rFonts w:hint="eastAsia" w:ascii="宋体" w:hAnsi="宋体" w:cs="宋体"/>
          <w:u w:val="single"/>
        </w:rPr>
        <w:t xml:space="preserve">                   </w:t>
      </w:r>
    </w:p>
    <w:p>
      <w:pPr>
        <w:pStyle w:val="14"/>
        <w:snapToGrid w:val="0"/>
        <w:spacing w:before="0" w:beforeAutospacing="0" w:after="0"/>
        <w:ind w:firstLine="480" w:firstLineChars="200"/>
        <w:rPr>
          <w:rFonts w:hint="eastAsia" w:ascii="宋体" w:hAnsi="宋体" w:cs="宋体"/>
          <w:u w:val="single"/>
        </w:rPr>
      </w:pPr>
      <w:r>
        <w:rPr>
          <w:rFonts w:hint="eastAsia" w:ascii="宋体" w:hAnsi="宋体" w:cs="宋体"/>
        </w:rPr>
        <w:t>委托代理人：</w:t>
      </w:r>
      <w:r>
        <w:rPr>
          <w:rFonts w:hint="eastAsia" w:ascii="宋体" w:hAnsi="宋体" w:cs="宋体"/>
          <w:u w:val="single"/>
        </w:rPr>
        <w:t xml:space="preserve">              </w:t>
      </w:r>
      <w:r>
        <w:rPr>
          <w:rFonts w:hint="eastAsia" w:ascii="宋体" w:hAnsi="宋体" w:cs="宋体"/>
        </w:rPr>
        <w:t>联系电话：</w:t>
      </w:r>
      <w:r>
        <w:rPr>
          <w:rFonts w:hint="eastAsia" w:ascii="宋体" w:hAnsi="宋体" w:cs="宋体"/>
          <w:u w:val="single"/>
        </w:rPr>
        <w:t xml:space="preserve">                    </w:t>
      </w:r>
    </w:p>
    <w:p>
      <w:pPr>
        <w:pStyle w:val="14"/>
        <w:snapToGrid w:val="0"/>
        <w:spacing w:before="0" w:beforeAutospacing="0" w:after="0"/>
        <w:ind w:firstLine="480" w:firstLineChars="200"/>
        <w:rPr>
          <w:rFonts w:hint="eastAsia" w:ascii="宋体" w:hAnsi="宋体" w:cs="宋体"/>
          <w:u w:val="single"/>
        </w:rPr>
      </w:pPr>
      <w:r>
        <w:rPr>
          <w:rFonts w:hint="eastAsia" w:ascii="宋体" w:hAnsi="宋体" w:cs="宋体"/>
        </w:rPr>
        <w:t>通讯地址：</w:t>
      </w:r>
      <w:r>
        <w:rPr>
          <w:rFonts w:hint="eastAsia" w:ascii="宋体" w:hAnsi="宋体" w:cs="宋体"/>
          <w:u w:val="single"/>
        </w:rPr>
        <w:t xml:space="preserve">           </w:t>
      </w:r>
    </w:p>
    <w:p>
      <w:pPr>
        <w:pStyle w:val="14"/>
        <w:snapToGrid w:val="0"/>
        <w:spacing w:before="0" w:beforeAutospacing="0" w:after="0"/>
        <w:ind w:firstLine="480" w:firstLineChars="200"/>
        <w:rPr>
          <w:rFonts w:hint="eastAsia" w:ascii="宋体" w:hAnsi="宋体" w:cs="宋体"/>
        </w:rPr>
      </w:pPr>
      <w:r>
        <w:rPr>
          <w:rFonts w:hint="eastAsia" w:ascii="宋体" w:hAnsi="宋体" w:cs="宋体"/>
        </w:rPr>
        <w:t>邮政编码：</w:t>
      </w:r>
      <w:r>
        <w:rPr>
          <w:rFonts w:hint="eastAsia" w:ascii="宋体" w:hAnsi="宋体" w:cs="宋体"/>
          <w:u w:val="single"/>
        </w:rPr>
        <w:t xml:space="preserve">                </w:t>
      </w:r>
      <w:r>
        <w:rPr>
          <w:rFonts w:hint="eastAsia" w:ascii="宋体" w:hAnsi="宋体" w:cs="宋体"/>
        </w:rPr>
        <w:t xml:space="preserve">    </w:t>
      </w:r>
    </w:p>
    <w:p>
      <w:pPr>
        <w:pStyle w:val="14"/>
        <w:snapToGrid w:val="0"/>
        <w:spacing w:before="0" w:beforeAutospacing="0" w:after="0"/>
        <w:ind w:firstLine="470" w:firstLineChars="196"/>
        <w:rPr>
          <w:rFonts w:hint="eastAsia" w:ascii="宋体" w:hAnsi="宋体" w:cs="宋体"/>
          <w:u w:val="single"/>
        </w:rPr>
      </w:pPr>
      <w:r>
        <w:rPr>
          <w:rFonts w:hint="eastAsia" w:ascii="宋体" w:hAnsi="宋体" w:cs="宋体"/>
        </w:rPr>
        <w:t>乙方（物业服务企业）：</w:t>
      </w:r>
      <w:r>
        <w:rPr>
          <w:rFonts w:hint="eastAsia" w:ascii="宋体" w:hAnsi="宋体" w:cs="宋体"/>
          <w:u w:val="single"/>
        </w:rPr>
        <w:t xml:space="preserve">                     </w:t>
      </w:r>
    </w:p>
    <w:p>
      <w:pPr>
        <w:pStyle w:val="14"/>
        <w:snapToGrid w:val="0"/>
        <w:spacing w:before="0" w:beforeAutospacing="0" w:after="0"/>
        <w:ind w:firstLine="480" w:firstLineChars="200"/>
        <w:rPr>
          <w:rFonts w:hint="eastAsia" w:ascii="宋体" w:hAnsi="宋体" w:cs="宋体"/>
          <w:u w:val="single"/>
        </w:rPr>
      </w:pPr>
      <w:r>
        <w:rPr>
          <w:rFonts w:hint="eastAsia" w:ascii="宋体" w:hAnsi="宋体" w:cs="宋体"/>
        </w:rPr>
        <w:t>营业执照注册号：</w:t>
      </w:r>
      <w:r>
        <w:rPr>
          <w:rFonts w:hint="eastAsia" w:ascii="宋体" w:hAnsi="宋体" w:cs="宋体"/>
          <w:u w:val="single"/>
        </w:rPr>
        <w:t xml:space="preserve">                             </w:t>
      </w:r>
    </w:p>
    <w:p>
      <w:pPr>
        <w:pStyle w:val="14"/>
        <w:snapToGrid w:val="0"/>
        <w:spacing w:before="0" w:beforeAutospacing="0" w:after="0"/>
        <w:ind w:firstLine="480" w:firstLineChars="200"/>
        <w:rPr>
          <w:rFonts w:hint="eastAsia" w:ascii="宋体" w:hAnsi="宋体" w:cs="宋体"/>
          <w:u w:val="single"/>
        </w:rPr>
      </w:pPr>
      <w:r>
        <w:rPr>
          <w:rFonts w:hint="eastAsia" w:ascii="宋体" w:hAnsi="宋体" w:cs="宋体"/>
        </w:rPr>
        <w:t>法定代表人：</w:t>
      </w:r>
      <w:r>
        <w:rPr>
          <w:rFonts w:hint="eastAsia" w:ascii="宋体" w:hAnsi="宋体" w:cs="宋体"/>
          <w:u w:val="single"/>
        </w:rPr>
        <w:t xml:space="preserve">          </w:t>
      </w:r>
      <w:r>
        <w:rPr>
          <w:rFonts w:hint="eastAsia" w:ascii="宋体" w:hAnsi="宋体" w:cs="宋体"/>
        </w:rPr>
        <w:t>联系电话：</w:t>
      </w:r>
      <w:r>
        <w:rPr>
          <w:rFonts w:hint="eastAsia" w:ascii="宋体" w:hAnsi="宋体" w:cs="宋体"/>
          <w:u w:val="single"/>
        </w:rPr>
        <w:t xml:space="preserve">                   </w:t>
      </w:r>
    </w:p>
    <w:p>
      <w:pPr>
        <w:pStyle w:val="14"/>
        <w:snapToGrid w:val="0"/>
        <w:spacing w:before="0" w:beforeAutospacing="0" w:after="0"/>
        <w:ind w:firstLine="480" w:firstLineChars="200"/>
        <w:rPr>
          <w:rFonts w:hint="eastAsia" w:ascii="宋体" w:hAnsi="宋体" w:cs="宋体"/>
          <w:u w:val="single"/>
        </w:rPr>
      </w:pPr>
      <w:r>
        <w:rPr>
          <w:rFonts w:hint="eastAsia" w:ascii="宋体" w:hAnsi="宋体" w:cs="宋体"/>
        </w:rPr>
        <w:t>委托代理人：</w:t>
      </w:r>
      <w:r>
        <w:rPr>
          <w:rFonts w:hint="eastAsia" w:ascii="宋体" w:hAnsi="宋体" w:cs="宋体"/>
          <w:u w:val="single"/>
        </w:rPr>
        <w:t xml:space="preserve">             </w:t>
      </w:r>
      <w:r>
        <w:rPr>
          <w:rFonts w:hint="eastAsia" w:ascii="宋体" w:hAnsi="宋体" w:cs="宋体"/>
        </w:rPr>
        <w:t>联系电话：</w:t>
      </w:r>
      <w:r>
        <w:rPr>
          <w:rFonts w:hint="eastAsia" w:ascii="宋体" w:hAnsi="宋体" w:cs="宋体"/>
          <w:u w:val="single"/>
        </w:rPr>
        <w:t xml:space="preserve">                  </w:t>
      </w:r>
    </w:p>
    <w:p>
      <w:pPr>
        <w:pStyle w:val="14"/>
        <w:snapToGrid w:val="0"/>
        <w:spacing w:before="0" w:beforeAutospacing="0" w:after="0"/>
        <w:ind w:firstLine="480" w:firstLineChars="200"/>
        <w:rPr>
          <w:rFonts w:hint="eastAsia" w:ascii="宋体" w:hAnsi="宋体" w:cs="宋体"/>
        </w:rPr>
      </w:pPr>
      <w:r>
        <w:rPr>
          <w:rFonts w:hint="eastAsia" w:ascii="宋体" w:hAnsi="宋体" w:cs="宋体"/>
        </w:rPr>
        <w:t>项目管理负责人：</w:t>
      </w:r>
      <w:r>
        <w:rPr>
          <w:rFonts w:hint="eastAsia" w:ascii="宋体" w:hAnsi="宋体" w:cs="宋体"/>
          <w:u w:val="single"/>
        </w:rPr>
        <w:t xml:space="preserve">          </w:t>
      </w:r>
      <w:r>
        <w:rPr>
          <w:rFonts w:hint="eastAsia" w:ascii="宋体" w:hAnsi="宋体" w:cs="宋体"/>
        </w:rPr>
        <w:t>联系电话：</w:t>
      </w:r>
      <w:r>
        <w:rPr>
          <w:rFonts w:hint="eastAsia" w:ascii="宋体" w:hAnsi="宋体" w:cs="宋体"/>
          <w:u w:val="single"/>
        </w:rPr>
        <w:t xml:space="preserve">                  </w:t>
      </w:r>
      <w:r>
        <w:rPr>
          <w:rFonts w:hint="eastAsia" w:ascii="宋体" w:hAnsi="宋体" w:cs="宋体"/>
        </w:rPr>
        <w:t xml:space="preserve"> </w:t>
      </w:r>
    </w:p>
    <w:p>
      <w:pPr>
        <w:pStyle w:val="14"/>
        <w:snapToGrid w:val="0"/>
        <w:spacing w:before="0" w:beforeAutospacing="0" w:after="0"/>
        <w:ind w:firstLine="480" w:firstLineChars="200"/>
        <w:rPr>
          <w:rFonts w:hint="eastAsia" w:ascii="宋体" w:hAnsi="宋体" w:cs="宋体"/>
          <w:u w:val="single"/>
        </w:rPr>
      </w:pPr>
      <w:r>
        <w:rPr>
          <w:rFonts w:hint="eastAsia" w:ascii="宋体" w:hAnsi="宋体" w:cs="宋体"/>
        </w:rPr>
        <w:t>通讯地址：</w:t>
      </w:r>
      <w:r>
        <w:rPr>
          <w:rFonts w:hint="eastAsia" w:ascii="宋体" w:hAnsi="宋体" w:cs="宋体"/>
          <w:u w:val="single"/>
        </w:rPr>
        <w:t xml:space="preserve">           </w:t>
      </w:r>
    </w:p>
    <w:p>
      <w:pPr>
        <w:pStyle w:val="14"/>
        <w:snapToGrid w:val="0"/>
        <w:spacing w:before="0" w:beforeAutospacing="0" w:after="0"/>
        <w:ind w:firstLine="480" w:firstLineChars="200"/>
        <w:rPr>
          <w:rFonts w:hint="eastAsia" w:ascii="宋体" w:hAnsi="宋体" w:cs="宋体"/>
          <w:u w:val="single"/>
        </w:rPr>
      </w:pPr>
      <w:r>
        <w:rPr>
          <w:rFonts w:hint="eastAsia" w:ascii="宋体" w:hAnsi="宋体" w:cs="宋体"/>
        </w:rPr>
        <w:t>邮政编码：</w:t>
      </w:r>
      <w:r>
        <w:rPr>
          <w:rFonts w:hint="eastAsia" w:ascii="宋体" w:hAnsi="宋体" w:cs="宋体"/>
          <w:u w:val="single"/>
        </w:rPr>
        <w:t xml:space="preserve">                    </w:t>
      </w:r>
    </w:p>
    <w:p>
      <w:pPr>
        <w:pStyle w:val="14"/>
        <w:snapToGrid w:val="0"/>
        <w:spacing w:before="0" w:beforeAutospacing="0" w:after="0"/>
        <w:ind w:firstLine="480" w:firstLineChars="200"/>
        <w:rPr>
          <w:rFonts w:hint="eastAsia" w:ascii="宋体" w:hAnsi="宋体" w:cs="宋体"/>
        </w:rPr>
      </w:pPr>
      <w:r>
        <w:rPr>
          <w:rFonts w:hint="eastAsia" w:ascii="宋体" w:hAnsi="宋体" w:cs="宋体"/>
        </w:rPr>
        <w:t>根据《中华人民共和国物权法》、国务院《物业管理条例》及《安徽省物业管理条例》等有关法律法规的规定，甲乙双方在自愿、平等、协商一致的基础上，就甲方选聘乙方对</w:t>
      </w:r>
      <w:r>
        <w:rPr>
          <w:rFonts w:hint="eastAsia" w:ascii="宋体" w:hAnsi="宋体" w:cs="宋体"/>
          <w:iCs/>
          <w:u w:val="single"/>
        </w:rPr>
        <w:t xml:space="preserve">        </w:t>
      </w:r>
      <w:r>
        <w:rPr>
          <w:rFonts w:hint="eastAsia" w:ascii="宋体" w:hAnsi="宋体" w:cs="宋体"/>
          <w:u w:val="single"/>
        </w:rPr>
        <w:t xml:space="preserve">  </w:t>
      </w:r>
      <w:r>
        <w:rPr>
          <w:rFonts w:hint="eastAsia" w:ascii="宋体" w:hAnsi="宋体" w:cs="宋体"/>
        </w:rPr>
        <w:t>（物业名称）提供物业服务事宜，订立本合同。</w:t>
      </w:r>
    </w:p>
    <w:p>
      <w:pPr>
        <w:snapToGrid w:val="0"/>
        <w:jc w:val="center"/>
        <w:rPr>
          <w:rFonts w:hint="eastAsia" w:ascii="宋体" w:hAnsi="宋体" w:cs="宋体"/>
          <w:sz w:val="24"/>
          <w:szCs w:val="24"/>
        </w:rPr>
      </w:pPr>
      <w:r>
        <w:rPr>
          <w:rFonts w:hint="eastAsia" w:ascii="宋体" w:hAnsi="宋体" w:cs="宋体"/>
          <w:sz w:val="24"/>
          <w:szCs w:val="24"/>
        </w:rPr>
        <w:t>第一章  物业项目基本情况</w:t>
      </w:r>
    </w:p>
    <w:p>
      <w:pPr>
        <w:snapToGrid w:val="0"/>
        <w:ind w:firstLine="480" w:firstLineChars="200"/>
        <w:rPr>
          <w:rFonts w:hint="eastAsia" w:ascii="宋体" w:hAnsi="宋体" w:cs="宋体"/>
          <w:sz w:val="24"/>
          <w:szCs w:val="24"/>
        </w:rPr>
      </w:pPr>
      <w:r>
        <w:rPr>
          <w:rFonts w:hint="eastAsia" w:ascii="宋体" w:hAnsi="宋体" w:cs="宋体"/>
          <w:sz w:val="24"/>
          <w:szCs w:val="24"/>
        </w:rPr>
        <w:t>第一条  本物业项目（以下简称“本物业”）基本情况</w:t>
      </w:r>
    </w:p>
    <w:p>
      <w:pPr>
        <w:snapToGrid w:val="0"/>
        <w:ind w:firstLine="480" w:firstLineChars="200"/>
        <w:rPr>
          <w:rFonts w:hint="eastAsia" w:ascii="宋体" w:hAnsi="宋体" w:cs="宋体"/>
          <w:sz w:val="24"/>
          <w:szCs w:val="24"/>
          <w:u w:val="single"/>
        </w:rPr>
      </w:pPr>
      <w:r>
        <w:rPr>
          <w:rFonts w:hint="eastAsia" w:ascii="宋体" w:hAnsi="宋体" w:cs="宋体"/>
          <w:sz w:val="24"/>
          <w:szCs w:val="24"/>
        </w:rPr>
        <w:t>物业名称：</w:t>
      </w:r>
      <w:r>
        <w:rPr>
          <w:rFonts w:hint="eastAsia" w:ascii="宋体" w:hAnsi="宋体" w:cs="宋体"/>
          <w:sz w:val="24"/>
          <w:szCs w:val="24"/>
          <w:u w:val="single"/>
        </w:rPr>
        <w:t xml:space="preserve">  </w:t>
      </w:r>
      <w:r>
        <w:rPr>
          <w:rFonts w:hint="eastAsia" w:ascii="宋体" w:hAnsi="宋体" w:cs="宋体"/>
          <w:iCs/>
          <w:sz w:val="24"/>
          <w:szCs w:val="24"/>
          <w:u w:val="single"/>
        </w:rPr>
        <w:t xml:space="preserve">  </w:t>
      </w:r>
      <w:r>
        <w:rPr>
          <w:rFonts w:hint="eastAsia" w:ascii="宋体" w:hAnsi="宋体" w:cs="宋体"/>
          <w:sz w:val="24"/>
          <w:szCs w:val="24"/>
          <w:u w:val="single"/>
        </w:rPr>
        <w:t xml:space="preserve">                                   </w:t>
      </w:r>
    </w:p>
    <w:p>
      <w:pPr>
        <w:snapToGrid w:val="0"/>
        <w:ind w:firstLine="480" w:firstLineChars="200"/>
        <w:rPr>
          <w:rFonts w:hint="eastAsia" w:ascii="宋体" w:hAnsi="宋体" w:cs="宋体"/>
          <w:sz w:val="24"/>
          <w:szCs w:val="24"/>
        </w:rPr>
      </w:pPr>
      <w:r>
        <w:rPr>
          <w:rFonts w:hint="eastAsia" w:ascii="宋体" w:hAnsi="宋体" w:cs="宋体"/>
          <w:sz w:val="24"/>
          <w:szCs w:val="24"/>
        </w:rPr>
        <w:t>物业类型：□多层住宅  □高层住宅  □独立式住宅 □办公楼</w:t>
      </w:r>
    </w:p>
    <w:p>
      <w:pPr>
        <w:snapToGrid w:val="0"/>
        <w:ind w:firstLine="1656" w:firstLineChars="690"/>
        <w:rPr>
          <w:rFonts w:hint="eastAsia" w:ascii="宋体" w:hAnsi="宋体" w:cs="宋体"/>
          <w:sz w:val="24"/>
          <w:szCs w:val="24"/>
        </w:rPr>
      </w:pPr>
      <w:r>
        <w:rPr>
          <w:rFonts w:hint="eastAsia" w:ascii="宋体" w:hAnsi="宋体" w:cs="宋体"/>
          <w:sz w:val="24"/>
          <w:szCs w:val="24"/>
        </w:rPr>
        <w:t xml:space="preserve">□厂房      □其他                           </w:t>
      </w:r>
    </w:p>
    <w:p>
      <w:pPr>
        <w:snapToGrid w:val="0"/>
        <w:ind w:firstLine="480" w:firstLineChars="200"/>
        <w:rPr>
          <w:rFonts w:hint="eastAsia" w:ascii="宋体" w:hAnsi="宋体" w:cs="宋体"/>
          <w:sz w:val="24"/>
          <w:szCs w:val="24"/>
          <w:u w:val="single"/>
        </w:rPr>
      </w:pPr>
      <w:r>
        <w:rPr>
          <w:rFonts w:hint="eastAsia" w:ascii="宋体" w:hAnsi="宋体" w:cs="宋体"/>
          <w:sz w:val="24"/>
          <w:szCs w:val="24"/>
        </w:rPr>
        <w:t>座落位置：</w:t>
      </w:r>
      <w:r>
        <w:rPr>
          <w:rFonts w:hint="eastAsia" w:ascii="宋体" w:hAnsi="宋体" w:cs="宋体"/>
          <w:sz w:val="24"/>
          <w:szCs w:val="24"/>
          <w:u w:val="single"/>
        </w:rPr>
        <w:t xml:space="preserve">  阜阳   </w:t>
      </w:r>
      <w:r>
        <w:rPr>
          <w:rFonts w:hint="eastAsia" w:ascii="宋体" w:hAnsi="宋体" w:cs="宋体"/>
          <w:sz w:val="24"/>
          <w:szCs w:val="24"/>
        </w:rPr>
        <w:t>市</w:t>
      </w:r>
      <w:r>
        <w:rPr>
          <w:rFonts w:hint="eastAsia" w:ascii="宋体" w:hAnsi="宋体" w:cs="宋体"/>
          <w:sz w:val="24"/>
          <w:szCs w:val="24"/>
          <w:u w:val="single"/>
        </w:rPr>
        <w:t xml:space="preserve">        </w:t>
      </w:r>
      <w:r>
        <w:rPr>
          <w:rFonts w:hint="eastAsia" w:ascii="宋体" w:hAnsi="宋体" w:cs="宋体"/>
          <w:sz w:val="24"/>
          <w:szCs w:val="24"/>
        </w:rPr>
        <w:t>区/县</w:t>
      </w:r>
      <w:r>
        <w:rPr>
          <w:rFonts w:hint="eastAsia" w:ascii="宋体" w:hAnsi="宋体" w:cs="宋体"/>
          <w:sz w:val="24"/>
          <w:szCs w:val="24"/>
          <w:u w:val="single"/>
        </w:rPr>
        <w:t xml:space="preserve">                   </w:t>
      </w:r>
    </w:p>
    <w:p>
      <w:pPr>
        <w:snapToGrid w:val="0"/>
        <w:ind w:firstLine="480" w:firstLineChars="200"/>
        <w:rPr>
          <w:rFonts w:hint="eastAsia" w:ascii="宋体" w:hAnsi="宋体" w:cs="宋体"/>
          <w:sz w:val="24"/>
          <w:szCs w:val="24"/>
        </w:rPr>
      </w:pPr>
      <w:r>
        <w:rPr>
          <w:rFonts w:hint="eastAsia" w:ascii="宋体" w:hAnsi="宋体" w:cs="宋体"/>
          <w:sz w:val="24"/>
          <w:szCs w:val="24"/>
        </w:rPr>
        <w:t>四至范围（物业规划总平面图）</w:t>
      </w:r>
    </w:p>
    <w:p>
      <w:pPr>
        <w:snapToGrid w:val="0"/>
        <w:ind w:firstLine="480" w:firstLineChars="200"/>
        <w:rPr>
          <w:rFonts w:hint="eastAsia" w:ascii="宋体" w:hAnsi="宋体" w:cs="宋体"/>
          <w:sz w:val="24"/>
          <w:szCs w:val="24"/>
        </w:rPr>
      </w:pPr>
      <w:r>
        <w:rPr>
          <w:rFonts w:hint="eastAsia" w:ascii="宋体" w:hAnsi="宋体" w:cs="宋体"/>
          <w:sz w:val="24"/>
          <w:szCs w:val="24"/>
        </w:rPr>
        <w:t>占地面积：</w:t>
      </w:r>
      <w:r>
        <w:rPr>
          <w:rFonts w:hint="eastAsia" w:ascii="宋体" w:hAnsi="宋体" w:cs="宋体"/>
          <w:sz w:val="24"/>
          <w:szCs w:val="24"/>
          <w:u w:val="single"/>
        </w:rPr>
        <w:t xml:space="preserve">             </w:t>
      </w:r>
      <w:r>
        <w:rPr>
          <w:rFonts w:hint="eastAsia" w:ascii="宋体" w:hAnsi="宋体" w:cs="宋体"/>
          <w:sz w:val="24"/>
          <w:szCs w:val="24"/>
        </w:rPr>
        <w:t>平方米</w:t>
      </w:r>
    </w:p>
    <w:p>
      <w:pPr>
        <w:snapToGrid w:val="0"/>
        <w:ind w:firstLine="480" w:firstLineChars="200"/>
        <w:rPr>
          <w:rFonts w:hint="eastAsia" w:ascii="宋体" w:hAnsi="宋体" w:cs="宋体"/>
          <w:sz w:val="24"/>
          <w:szCs w:val="24"/>
        </w:rPr>
      </w:pPr>
      <w:r>
        <w:rPr>
          <w:rFonts w:hint="eastAsia" w:ascii="宋体" w:hAnsi="宋体" w:cs="宋体"/>
          <w:sz w:val="24"/>
          <w:szCs w:val="24"/>
        </w:rPr>
        <w:t>总建筑面积：</w:t>
      </w:r>
      <w:r>
        <w:rPr>
          <w:rFonts w:hint="eastAsia" w:ascii="宋体" w:hAnsi="宋体" w:cs="宋体"/>
          <w:sz w:val="24"/>
          <w:szCs w:val="24"/>
          <w:u w:val="single"/>
        </w:rPr>
        <w:t xml:space="preserve">           </w:t>
      </w:r>
      <w:r>
        <w:rPr>
          <w:rFonts w:hint="eastAsia" w:ascii="宋体" w:hAnsi="宋体" w:cs="宋体"/>
          <w:sz w:val="24"/>
          <w:szCs w:val="24"/>
        </w:rPr>
        <w:t xml:space="preserve">平方米 </w:t>
      </w:r>
    </w:p>
    <w:p>
      <w:pPr>
        <w:snapToGrid w:val="0"/>
        <w:ind w:firstLine="480" w:firstLineChars="200"/>
        <w:rPr>
          <w:rFonts w:hint="eastAsia" w:ascii="宋体" w:hAnsi="宋体" w:cs="宋体"/>
          <w:sz w:val="24"/>
          <w:szCs w:val="24"/>
        </w:rPr>
      </w:pPr>
      <w:r>
        <w:rPr>
          <w:rFonts w:hint="eastAsia" w:ascii="宋体" w:hAnsi="宋体" w:cs="宋体"/>
          <w:sz w:val="24"/>
          <w:szCs w:val="24"/>
        </w:rPr>
        <w:t>其中：多层住宅面积</w:t>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rPr>
        <w:t>平方米</w:t>
      </w:r>
    </w:p>
    <w:p>
      <w:pPr>
        <w:snapToGrid w:val="0"/>
        <w:ind w:firstLine="480" w:firstLineChars="200"/>
        <w:rPr>
          <w:rFonts w:hint="eastAsia" w:ascii="宋体" w:hAnsi="宋体" w:cs="宋体"/>
          <w:sz w:val="24"/>
          <w:szCs w:val="24"/>
        </w:rPr>
      </w:pPr>
      <w:r>
        <w:rPr>
          <w:rFonts w:hint="eastAsia" w:ascii="宋体" w:hAnsi="宋体" w:cs="宋体"/>
          <w:sz w:val="24"/>
          <w:szCs w:val="24"/>
        </w:rPr>
        <w:t>有电梯住宅面积</w:t>
      </w:r>
      <w:r>
        <w:rPr>
          <w:rFonts w:hint="eastAsia" w:ascii="宋体" w:hAnsi="宋体" w:cs="宋体"/>
          <w:sz w:val="24"/>
          <w:szCs w:val="24"/>
          <w:u w:val="single"/>
        </w:rPr>
        <w:t xml:space="preserve">                  </w:t>
      </w:r>
      <w:r>
        <w:rPr>
          <w:rFonts w:hint="eastAsia" w:ascii="宋体" w:hAnsi="宋体" w:cs="宋体"/>
          <w:sz w:val="24"/>
          <w:szCs w:val="24"/>
        </w:rPr>
        <w:t>平方米</w:t>
      </w:r>
    </w:p>
    <w:p>
      <w:pPr>
        <w:snapToGrid w:val="0"/>
        <w:ind w:firstLine="480" w:firstLineChars="200"/>
        <w:rPr>
          <w:rFonts w:hint="eastAsia" w:ascii="宋体" w:hAnsi="宋体" w:cs="宋体"/>
          <w:sz w:val="24"/>
          <w:szCs w:val="24"/>
        </w:rPr>
      </w:pPr>
      <w:r>
        <w:rPr>
          <w:rFonts w:hint="eastAsia" w:ascii="宋体" w:hAnsi="宋体" w:cs="宋体"/>
          <w:sz w:val="24"/>
          <w:szCs w:val="24"/>
        </w:rPr>
        <w:t>独立式住宅（别墅）面积</w:t>
      </w:r>
      <w:r>
        <w:rPr>
          <w:rFonts w:hint="eastAsia" w:ascii="宋体" w:hAnsi="宋体" w:cs="宋体"/>
          <w:sz w:val="24"/>
          <w:szCs w:val="24"/>
          <w:u w:val="single"/>
        </w:rPr>
        <w:t xml:space="preserve">      </w:t>
      </w:r>
      <w:r>
        <w:rPr>
          <w:rFonts w:hint="eastAsia" w:ascii="宋体" w:hAnsi="宋体" w:cs="宋体"/>
          <w:sz w:val="24"/>
          <w:szCs w:val="24"/>
        </w:rPr>
        <w:t>平方米</w:t>
      </w:r>
    </w:p>
    <w:p>
      <w:pPr>
        <w:snapToGrid w:val="0"/>
        <w:ind w:firstLine="470" w:firstLineChars="196"/>
        <w:rPr>
          <w:rFonts w:hint="eastAsia" w:ascii="宋体" w:hAnsi="宋体" w:cs="宋体"/>
          <w:sz w:val="24"/>
          <w:szCs w:val="24"/>
        </w:rPr>
      </w:pPr>
      <w:r>
        <w:rPr>
          <w:rFonts w:hint="eastAsia" w:ascii="宋体" w:hAnsi="宋体" w:cs="宋体"/>
          <w:sz w:val="24"/>
          <w:szCs w:val="24"/>
        </w:rPr>
        <w:t xml:space="preserve">商业 </w:t>
      </w:r>
      <w:r>
        <w:rPr>
          <w:rFonts w:hint="eastAsia" w:ascii="宋体" w:hAnsi="宋体" w:cs="宋体"/>
          <w:sz w:val="24"/>
          <w:szCs w:val="24"/>
          <w:u w:val="single"/>
        </w:rPr>
        <w:t xml:space="preserve">                    </w:t>
      </w:r>
      <w:r>
        <w:rPr>
          <w:rFonts w:hint="eastAsia" w:ascii="宋体" w:hAnsi="宋体" w:cs="宋体"/>
          <w:sz w:val="24"/>
          <w:szCs w:val="24"/>
        </w:rPr>
        <w:t>平方米</w:t>
      </w:r>
    </w:p>
    <w:p>
      <w:pPr>
        <w:snapToGrid w:val="0"/>
        <w:ind w:firstLine="480" w:firstLineChars="200"/>
        <w:rPr>
          <w:rFonts w:hint="eastAsia" w:ascii="宋体" w:hAnsi="宋体" w:cs="宋体"/>
          <w:sz w:val="24"/>
          <w:szCs w:val="24"/>
        </w:rPr>
      </w:pPr>
      <w:r>
        <w:rPr>
          <w:rFonts w:hint="eastAsia" w:ascii="宋体" w:hAnsi="宋体" w:cs="宋体"/>
          <w:sz w:val="24"/>
          <w:szCs w:val="24"/>
        </w:rPr>
        <w:t>（物业规划总平面图见附件一，物业构成细目见附件二）。</w:t>
      </w:r>
    </w:p>
    <w:p>
      <w:pPr>
        <w:snapToGrid w:val="0"/>
        <w:ind w:firstLine="480" w:firstLineChars="200"/>
        <w:rPr>
          <w:rFonts w:hint="eastAsia" w:ascii="宋体" w:hAnsi="宋体" w:cs="宋体"/>
          <w:sz w:val="24"/>
          <w:szCs w:val="24"/>
        </w:rPr>
      </w:pPr>
      <w:r>
        <w:rPr>
          <w:rFonts w:hint="eastAsia" w:ascii="宋体" w:hAnsi="宋体" w:cs="宋体"/>
          <w:sz w:val="24"/>
          <w:szCs w:val="24"/>
        </w:rPr>
        <w:t>第二条  物业服务用房</w:t>
      </w:r>
    </w:p>
    <w:p>
      <w:pPr>
        <w:snapToGrid w:val="0"/>
        <w:ind w:firstLine="480" w:firstLineChars="200"/>
        <w:rPr>
          <w:rFonts w:hint="eastAsia" w:ascii="宋体" w:hAnsi="宋体" w:cs="宋体"/>
          <w:sz w:val="24"/>
          <w:szCs w:val="24"/>
        </w:rPr>
      </w:pPr>
      <w:r>
        <w:rPr>
          <w:rFonts w:hint="eastAsia" w:ascii="宋体" w:hAnsi="宋体" w:cs="宋体"/>
          <w:sz w:val="24"/>
          <w:szCs w:val="24"/>
        </w:rPr>
        <w:t>物业服务用房建筑面积为</w:t>
      </w:r>
      <w:r>
        <w:rPr>
          <w:rFonts w:hint="eastAsia" w:ascii="宋体" w:hAnsi="宋体" w:cs="宋体"/>
          <w:sz w:val="24"/>
          <w:szCs w:val="24"/>
          <w:u w:val="single"/>
        </w:rPr>
        <w:t xml:space="preserve">         </w:t>
      </w:r>
      <w:r>
        <w:rPr>
          <w:rFonts w:hint="eastAsia" w:ascii="宋体" w:hAnsi="宋体" w:cs="宋体"/>
          <w:sz w:val="24"/>
          <w:szCs w:val="24"/>
        </w:rPr>
        <w:t>平方米，其中业主大会及业主委员会办公用房建筑面积为</w:t>
      </w:r>
      <w:r>
        <w:rPr>
          <w:rFonts w:hint="eastAsia" w:ascii="宋体" w:hAnsi="宋体" w:cs="宋体"/>
          <w:sz w:val="24"/>
          <w:szCs w:val="24"/>
          <w:u w:val="single"/>
        </w:rPr>
        <w:t xml:space="preserve">    </w:t>
      </w:r>
      <w:r>
        <w:rPr>
          <w:rFonts w:hint="eastAsia" w:ascii="宋体" w:hAnsi="宋体" w:cs="宋体"/>
          <w:sz w:val="24"/>
          <w:szCs w:val="24"/>
        </w:rPr>
        <w:t>平方米，位于本物业</w:t>
      </w:r>
      <w:r>
        <w:rPr>
          <w:rFonts w:hint="eastAsia" w:ascii="宋体" w:hAnsi="宋体" w:cs="宋体"/>
          <w:sz w:val="24"/>
          <w:szCs w:val="24"/>
          <w:u w:val="single"/>
        </w:rPr>
        <w:t xml:space="preserve">       楼</w:t>
      </w:r>
      <w:r>
        <w:rPr>
          <w:rFonts w:hint="eastAsia" w:ascii="宋体" w:hAnsi="宋体" w:cs="宋体"/>
          <w:sz w:val="24"/>
          <w:szCs w:val="24"/>
        </w:rPr>
        <w:t>。</w:t>
      </w:r>
    </w:p>
    <w:p>
      <w:pPr>
        <w:snapToGrid w:val="0"/>
        <w:ind w:firstLine="480" w:firstLineChars="200"/>
        <w:rPr>
          <w:rFonts w:hint="eastAsia" w:ascii="宋体" w:hAnsi="宋体" w:cs="宋体"/>
          <w:sz w:val="24"/>
          <w:szCs w:val="24"/>
        </w:rPr>
      </w:pPr>
      <w:r>
        <w:rPr>
          <w:rFonts w:hint="eastAsia" w:ascii="宋体" w:hAnsi="宋体" w:cs="宋体"/>
          <w:sz w:val="24"/>
          <w:szCs w:val="24"/>
        </w:rPr>
        <w:t>物业服务用房属全体业主所有，乙方在本合同期限内无偿使用并负责维护管理，但不得改变其用途。</w:t>
      </w:r>
    </w:p>
    <w:p>
      <w:pPr>
        <w:snapToGrid w:val="0"/>
        <w:ind w:firstLine="480" w:firstLineChars="200"/>
        <w:rPr>
          <w:rFonts w:hint="eastAsia" w:ascii="宋体" w:hAnsi="宋体" w:cs="宋体"/>
          <w:sz w:val="24"/>
          <w:szCs w:val="24"/>
        </w:rPr>
      </w:pPr>
      <w:r>
        <w:rPr>
          <w:rFonts w:hint="eastAsia" w:ascii="宋体" w:hAnsi="宋体" w:cs="宋体"/>
          <w:sz w:val="24"/>
          <w:szCs w:val="24"/>
        </w:rPr>
        <w:t>（物业服务用房明细表及测绘图见附件三）</w:t>
      </w:r>
    </w:p>
    <w:p>
      <w:pPr>
        <w:snapToGrid w:val="0"/>
        <w:jc w:val="center"/>
        <w:rPr>
          <w:rFonts w:hint="eastAsia" w:ascii="宋体" w:hAnsi="宋体" w:cs="宋体"/>
          <w:sz w:val="24"/>
          <w:szCs w:val="24"/>
        </w:rPr>
      </w:pPr>
      <w:r>
        <w:rPr>
          <w:rFonts w:hint="eastAsia" w:ascii="宋体" w:hAnsi="宋体" w:cs="宋体"/>
          <w:sz w:val="24"/>
          <w:szCs w:val="24"/>
        </w:rPr>
        <w:t>第二章  物业服务事项</w:t>
      </w:r>
    </w:p>
    <w:p>
      <w:pPr>
        <w:snapToGrid w:val="0"/>
        <w:ind w:firstLine="480" w:firstLineChars="200"/>
        <w:rPr>
          <w:rFonts w:hint="eastAsia" w:ascii="宋体" w:hAnsi="宋体" w:cs="宋体"/>
          <w:sz w:val="24"/>
          <w:szCs w:val="24"/>
        </w:rPr>
      </w:pPr>
      <w:r>
        <w:rPr>
          <w:rFonts w:hint="eastAsia" w:ascii="宋体" w:hAnsi="宋体" w:cs="宋体"/>
          <w:sz w:val="24"/>
          <w:szCs w:val="24"/>
        </w:rPr>
        <w:t>第三条  乙方确定的本物业服务项目负责人为：</w:t>
      </w:r>
      <w:r>
        <w:rPr>
          <w:rFonts w:hint="eastAsia" w:ascii="宋体" w:hAnsi="宋体" w:cs="宋体"/>
          <w:sz w:val="24"/>
          <w:szCs w:val="24"/>
          <w:u w:val="single"/>
        </w:rPr>
        <w:t xml:space="preserve">         ，</w:t>
      </w:r>
      <w:r>
        <w:rPr>
          <w:rFonts w:hint="eastAsia" w:ascii="宋体" w:hAnsi="宋体" w:cs="宋体"/>
          <w:sz w:val="24"/>
          <w:szCs w:val="24"/>
        </w:rPr>
        <w:t>联系电话：</w:t>
      </w:r>
      <w:r>
        <w:rPr>
          <w:rFonts w:hint="eastAsia" w:ascii="宋体" w:hAnsi="宋体" w:cs="宋体"/>
          <w:sz w:val="24"/>
          <w:szCs w:val="24"/>
          <w:u w:val="single"/>
        </w:rPr>
        <w:t xml:space="preserve">     </w:t>
      </w:r>
      <w:r>
        <w:rPr>
          <w:rFonts w:hint="eastAsia" w:ascii="宋体" w:hAnsi="宋体" w:cs="宋体"/>
          <w:sz w:val="24"/>
          <w:szCs w:val="24"/>
        </w:rPr>
        <w:t>。</w:t>
      </w:r>
    </w:p>
    <w:p>
      <w:pPr>
        <w:snapToGrid w:val="0"/>
        <w:ind w:firstLine="480" w:firstLineChars="200"/>
        <w:rPr>
          <w:rFonts w:hint="eastAsia" w:ascii="宋体" w:hAnsi="宋体" w:cs="宋体"/>
          <w:sz w:val="24"/>
          <w:szCs w:val="24"/>
        </w:rPr>
      </w:pPr>
      <w:r>
        <w:rPr>
          <w:rFonts w:hint="eastAsia" w:ascii="宋体" w:hAnsi="宋体" w:cs="宋体"/>
          <w:sz w:val="24"/>
          <w:szCs w:val="24"/>
        </w:rPr>
        <w:t>（项目负责人及主要专业技术与管理人员基本情况见附件四）。</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第四条 乙方提供的物业服务为以下内容： </w:t>
      </w:r>
    </w:p>
    <w:p>
      <w:pPr>
        <w:snapToGrid w:val="0"/>
        <w:ind w:firstLine="480" w:firstLineChars="200"/>
        <w:rPr>
          <w:rFonts w:hint="eastAsia" w:ascii="宋体" w:hAnsi="宋体" w:cs="宋体"/>
          <w:sz w:val="24"/>
          <w:szCs w:val="24"/>
        </w:rPr>
      </w:pPr>
      <w:r>
        <w:rPr>
          <w:rFonts w:hint="eastAsia" w:ascii="宋体" w:hAnsi="宋体" w:cs="宋体"/>
          <w:sz w:val="24"/>
          <w:szCs w:val="24"/>
        </w:rPr>
        <w:t>1.负责制定本物业服务工作计划并组织实施；保管与本物业相关的工程建设等档案资料；根据法律、法规和《临时管理规约》的授权制定本物业有关管理服务制度。年度、季度服务工作计划应在本物业管理区域内进行公示；</w:t>
      </w:r>
    </w:p>
    <w:p>
      <w:pPr>
        <w:snapToGrid w:val="0"/>
        <w:ind w:firstLine="480" w:firstLineChars="200"/>
        <w:rPr>
          <w:rFonts w:hint="eastAsia" w:ascii="宋体" w:hAnsi="宋体" w:cs="宋体"/>
          <w:sz w:val="24"/>
          <w:szCs w:val="24"/>
        </w:rPr>
      </w:pPr>
      <w:r>
        <w:rPr>
          <w:rFonts w:hint="eastAsia" w:ascii="宋体" w:hAnsi="宋体" w:cs="宋体"/>
          <w:sz w:val="24"/>
          <w:szCs w:val="24"/>
        </w:rPr>
        <w:t>2.负责本物业共用部位的维修、养护、管理，包括但不限于：楼盖、屋顶、外墙面、承重结构、楼梯间、走廊通道、门厅等；</w:t>
      </w:r>
    </w:p>
    <w:p>
      <w:pPr>
        <w:snapToGrid w:val="0"/>
        <w:ind w:firstLine="480" w:firstLineChars="200"/>
        <w:rPr>
          <w:rFonts w:hint="eastAsia" w:ascii="宋体" w:hAnsi="宋体" w:cs="宋体"/>
          <w:sz w:val="24"/>
          <w:szCs w:val="24"/>
        </w:rPr>
      </w:pPr>
      <w:r>
        <w:rPr>
          <w:rFonts w:hint="eastAsia" w:ascii="宋体" w:hAnsi="宋体" w:cs="宋体"/>
          <w:sz w:val="24"/>
          <w:szCs w:val="24"/>
        </w:rPr>
        <w:t>3.负责本物业共用设施、设备的维修、养护、运行和管理，包括但不限于：共用的上下水管道、落水管、排污管道、化粪池、沟渠、道路、共用照明、中央空调、供暖锅炉房、高压泵房、楼内消防设施设备、电梯、电子监控设备、建筑物防雷设施及自行车棚、停车场等。</w:t>
      </w:r>
    </w:p>
    <w:p>
      <w:pPr>
        <w:snapToGrid w:val="0"/>
        <w:ind w:firstLine="480" w:firstLineChars="200"/>
        <w:rPr>
          <w:rFonts w:hint="eastAsia" w:ascii="宋体" w:hAnsi="宋体" w:cs="宋体"/>
          <w:sz w:val="24"/>
          <w:szCs w:val="24"/>
        </w:rPr>
      </w:pPr>
      <w:r>
        <w:rPr>
          <w:rFonts w:hint="eastAsia" w:ascii="宋体" w:hAnsi="宋体" w:cs="宋体"/>
          <w:sz w:val="24"/>
          <w:szCs w:val="24"/>
        </w:rPr>
        <w:t>属于水、电、气、通讯、有线电视等专业单位管理、维护的设施设备，以及纳入市政管理的道路除外；</w:t>
      </w:r>
    </w:p>
    <w:p>
      <w:pPr>
        <w:snapToGrid w:val="0"/>
        <w:ind w:firstLine="480" w:firstLineChars="200"/>
        <w:rPr>
          <w:rFonts w:hint="eastAsia" w:ascii="宋体" w:hAnsi="宋体" w:cs="宋体"/>
          <w:sz w:val="24"/>
          <w:szCs w:val="24"/>
        </w:rPr>
      </w:pPr>
      <w:r>
        <w:rPr>
          <w:rFonts w:hint="eastAsia" w:ascii="宋体" w:hAnsi="宋体" w:cs="宋体"/>
          <w:sz w:val="24"/>
          <w:szCs w:val="24"/>
        </w:rPr>
        <w:t>4.负责本物业共用绿地、花木、景观小品、体育文化设施等的维护与管理 ；</w:t>
      </w:r>
    </w:p>
    <w:p>
      <w:pPr>
        <w:snapToGrid w:val="0"/>
        <w:ind w:firstLine="480" w:firstLineChars="200"/>
        <w:rPr>
          <w:rFonts w:hint="eastAsia" w:ascii="宋体" w:hAnsi="宋体" w:cs="宋体"/>
          <w:sz w:val="24"/>
          <w:szCs w:val="24"/>
        </w:rPr>
      </w:pPr>
      <w:r>
        <w:rPr>
          <w:rFonts w:hint="eastAsia" w:ascii="宋体" w:hAnsi="宋体" w:cs="宋体"/>
          <w:sz w:val="24"/>
          <w:szCs w:val="24"/>
        </w:rPr>
        <w:t>5.负责本物业管理区域内公共环境卫生，包括公共场所、房屋共用部位的清洁卫生，垃圾的收集、清运等；</w:t>
      </w:r>
    </w:p>
    <w:p>
      <w:pPr>
        <w:snapToGrid w:val="0"/>
        <w:ind w:firstLine="480" w:firstLineChars="200"/>
        <w:rPr>
          <w:rFonts w:hint="eastAsia" w:ascii="宋体" w:hAnsi="宋体" w:cs="宋体"/>
          <w:sz w:val="24"/>
          <w:szCs w:val="24"/>
        </w:rPr>
      </w:pPr>
      <w:r>
        <w:rPr>
          <w:rFonts w:hint="eastAsia" w:ascii="宋体" w:hAnsi="宋体" w:cs="宋体"/>
          <w:sz w:val="24"/>
          <w:szCs w:val="24"/>
        </w:rPr>
        <w:t>6.负责对本物业管理区域内的交通与车辆停放秩序的管理及相关设施的维护；</w:t>
      </w:r>
    </w:p>
    <w:p>
      <w:pPr>
        <w:snapToGrid w:val="0"/>
        <w:ind w:firstLine="480" w:firstLineChars="200"/>
        <w:rPr>
          <w:rFonts w:hint="eastAsia" w:ascii="宋体" w:hAnsi="宋体" w:cs="宋体"/>
          <w:sz w:val="24"/>
          <w:szCs w:val="24"/>
        </w:rPr>
      </w:pPr>
      <w:r>
        <w:rPr>
          <w:rFonts w:hint="eastAsia" w:ascii="宋体" w:hAnsi="宋体" w:cs="宋体"/>
          <w:sz w:val="24"/>
          <w:szCs w:val="24"/>
        </w:rPr>
        <w:t>7.协助做好本物业管理区域内公共秩序维护和安全防范工作，包括安全监控、巡视、门岗执勤等。</w:t>
      </w:r>
    </w:p>
    <w:p>
      <w:pPr>
        <w:snapToGrid w:val="0"/>
        <w:ind w:firstLine="480" w:firstLineChars="200"/>
        <w:rPr>
          <w:rFonts w:hint="eastAsia" w:ascii="宋体" w:hAnsi="宋体" w:cs="宋体"/>
          <w:sz w:val="24"/>
          <w:szCs w:val="24"/>
        </w:rPr>
      </w:pPr>
      <w:r>
        <w:rPr>
          <w:rFonts w:hint="eastAsia" w:ascii="宋体" w:hAnsi="宋体" w:cs="宋体"/>
          <w:sz w:val="24"/>
          <w:szCs w:val="24"/>
        </w:rPr>
        <w:t>前款约定的事项不含业主财产保险和财产保管责任；</w:t>
      </w:r>
    </w:p>
    <w:p>
      <w:pPr>
        <w:snapToGrid w:val="0"/>
        <w:ind w:firstLine="480" w:firstLineChars="200"/>
        <w:rPr>
          <w:rFonts w:hint="eastAsia" w:ascii="宋体" w:hAnsi="宋体" w:cs="宋体"/>
          <w:sz w:val="24"/>
          <w:szCs w:val="24"/>
        </w:rPr>
      </w:pPr>
      <w:r>
        <w:rPr>
          <w:rFonts w:hint="eastAsia" w:ascii="宋体" w:hAnsi="宋体" w:cs="宋体"/>
          <w:sz w:val="24"/>
          <w:szCs w:val="24"/>
        </w:rPr>
        <w:t>8.对物业使用中禁止行为进行监督管理；</w:t>
      </w:r>
    </w:p>
    <w:p>
      <w:pPr>
        <w:snapToGrid w:val="0"/>
        <w:ind w:firstLine="480" w:firstLineChars="200"/>
        <w:rPr>
          <w:rFonts w:hint="eastAsia" w:ascii="宋体" w:hAnsi="宋体" w:cs="宋体"/>
          <w:sz w:val="24"/>
          <w:szCs w:val="24"/>
        </w:rPr>
      </w:pPr>
      <w:r>
        <w:rPr>
          <w:rFonts w:hint="eastAsia" w:ascii="宋体" w:hAnsi="宋体" w:cs="宋体"/>
          <w:sz w:val="24"/>
          <w:szCs w:val="24"/>
        </w:rPr>
        <w:t>9.协助社区居委会等单位组织开展社区文化活动等；</w:t>
      </w:r>
    </w:p>
    <w:p>
      <w:pPr>
        <w:snapToGrid w:val="0"/>
        <w:ind w:firstLine="480" w:firstLineChars="200"/>
        <w:rPr>
          <w:rFonts w:hint="eastAsia" w:ascii="宋体" w:hAnsi="宋体" w:cs="宋体"/>
          <w:sz w:val="24"/>
          <w:szCs w:val="24"/>
        </w:rPr>
      </w:pPr>
      <w:r>
        <w:rPr>
          <w:rFonts w:hint="eastAsia" w:ascii="宋体" w:hAnsi="宋体" w:cs="宋体"/>
          <w:sz w:val="24"/>
          <w:szCs w:val="24"/>
        </w:rPr>
        <w:t>10.</w:t>
      </w:r>
      <w:r>
        <w:rPr>
          <w:rFonts w:hint="eastAsia" w:ascii="宋体" w:hAnsi="宋体" w:cs="宋体"/>
          <w:sz w:val="24"/>
          <w:szCs w:val="24"/>
          <w:u w:val="single"/>
        </w:rPr>
        <w:t xml:space="preserve">   装饰装修管理                                     </w:t>
      </w:r>
      <w:r>
        <w:rPr>
          <w:rFonts w:hint="eastAsia" w:ascii="宋体" w:hAnsi="宋体" w:cs="宋体"/>
          <w:sz w:val="24"/>
          <w:szCs w:val="24"/>
        </w:rPr>
        <w:t>；</w:t>
      </w:r>
    </w:p>
    <w:p>
      <w:pPr>
        <w:snapToGrid w:val="0"/>
        <w:ind w:firstLine="480" w:firstLineChars="200"/>
        <w:rPr>
          <w:rFonts w:hint="eastAsia" w:ascii="宋体" w:hAnsi="宋体" w:cs="宋体"/>
          <w:sz w:val="24"/>
          <w:szCs w:val="24"/>
        </w:rPr>
      </w:pPr>
      <w:r>
        <w:rPr>
          <w:rFonts w:hint="eastAsia" w:ascii="宋体" w:hAnsi="宋体" w:cs="宋体"/>
          <w:sz w:val="24"/>
          <w:szCs w:val="24"/>
        </w:rPr>
        <w:t>11.</w:t>
      </w:r>
      <w:r>
        <w:rPr>
          <w:rFonts w:hint="eastAsia" w:ascii="宋体" w:hAnsi="宋体" w:cs="宋体"/>
          <w:sz w:val="24"/>
          <w:szCs w:val="24"/>
          <w:u w:val="single"/>
        </w:rPr>
        <w:t xml:space="preserve">   物业档案资料管理                                 </w:t>
      </w:r>
      <w:r>
        <w:rPr>
          <w:rFonts w:hint="eastAsia" w:ascii="宋体" w:hAnsi="宋体" w:cs="宋体"/>
          <w:sz w:val="24"/>
          <w:szCs w:val="24"/>
        </w:rPr>
        <w:t>。</w:t>
      </w:r>
    </w:p>
    <w:p>
      <w:pPr>
        <w:snapToGrid w:val="0"/>
        <w:ind w:firstLine="480" w:firstLineChars="200"/>
        <w:rPr>
          <w:rFonts w:hint="eastAsia" w:ascii="宋体" w:hAnsi="宋体" w:cs="宋体"/>
          <w:sz w:val="24"/>
          <w:szCs w:val="24"/>
        </w:rPr>
      </w:pPr>
      <w:r>
        <w:rPr>
          <w:rFonts w:hint="eastAsia" w:ascii="宋体" w:hAnsi="宋体" w:cs="宋体"/>
          <w:sz w:val="24"/>
          <w:szCs w:val="24"/>
        </w:rPr>
        <w:t>第五条  乙方提供服务的受益人为本物业的业主及物业使用人。本物业的业主（物业使用人）均应履行本合同，享有相应的权利，承担相应的义务。</w:t>
      </w:r>
    </w:p>
    <w:p>
      <w:pPr>
        <w:snapToGrid w:val="0"/>
        <w:ind w:firstLine="480" w:firstLineChars="200"/>
        <w:rPr>
          <w:rFonts w:hint="eastAsia" w:ascii="宋体" w:hAnsi="宋体" w:cs="宋体"/>
          <w:sz w:val="24"/>
          <w:szCs w:val="24"/>
        </w:rPr>
      </w:pPr>
      <w:r>
        <w:rPr>
          <w:rFonts w:hint="eastAsia" w:ascii="宋体" w:hAnsi="宋体" w:cs="宋体"/>
          <w:sz w:val="24"/>
          <w:szCs w:val="24"/>
        </w:rPr>
        <w:t>第六条  其它事项：</w:t>
      </w:r>
    </w:p>
    <w:p>
      <w:pPr>
        <w:snapToGrid w:val="0"/>
        <w:ind w:firstLine="480" w:firstLineChars="200"/>
        <w:rPr>
          <w:rFonts w:hint="eastAsia" w:ascii="宋体" w:hAnsi="宋体" w:cs="宋体"/>
          <w:sz w:val="24"/>
          <w:szCs w:val="24"/>
        </w:rPr>
      </w:pPr>
      <w:r>
        <w:rPr>
          <w:rFonts w:hint="eastAsia" w:ascii="宋体" w:hAnsi="宋体" w:cs="宋体"/>
          <w:sz w:val="24"/>
          <w:szCs w:val="24"/>
        </w:rPr>
        <w:t>1.在本物业保修期内甲方委托乙方代为保修的，费用由甲方承担。</w:t>
      </w:r>
    </w:p>
    <w:p>
      <w:pPr>
        <w:snapToGrid w:val="0"/>
        <w:ind w:firstLine="480" w:firstLineChars="200"/>
        <w:rPr>
          <w:rFonts w:hint="eastAsia" w:ascii="宋体" w:hAnsi="宋体" w:cs="宋体"/>
          <w:sz w:val="24"/>
          <w:szCs w:val="24"/>
        </w:rPr>
      </w:pPr>
      <w:r>
        <w:rPr>
          <w:rFonts w:hint="eastAsia" w:ascii="宋体" w:hAnsi="宋体" w:cs="宋体"/>
          <w:sz w:val="24"/>
          <w:szCs w:val="24"/>
        </w:rPr>
        <w:t>2.会所、幼儿园、商业中心等物业服务内容及费用由相关单位与乙方另行商定。</w:t>
      </w:r>
    </w:p>
    <w:p>
      <w:pPr>
        <w:snapToGrid w:val="0"/>
        <w:ind w:firstLine="480" w:firstLineChars="200"/>
        <w:rPr>
          <w:rFonts w:hint="eastAsia" w:ascii="宋体" w:hAnsi="宋体" w:cs="宋体"/>
          <w:sz w:val="24"/>
          <w:szCs w:val="24"/>
        </w:rPr>
      </w:pPr>
      <w:r>
        <w:rPr>
          <w:rFonts w:hint="eastAsia" w:ascii="宋体" w:hAnsi="宋体" w:cs="宋体"/>
          <w:sz w:val="24"/>
          <w:szCs w:val="24"/>
        </w:rPr>
        <w:t>3.</w:t>
      </w:r>
      <w:r>
        <w:rPr>
          <w:rFonts w:hint="eastAsia" w:ascii="宋体" w:hAnsi="宋体" w:cs="宋体"/>
          <w:sz w:val="24"/>
          <w:szCs w:val="24"/>
          <w:u w:val="single"/>
        </w:rPr>
        <w:t xml:space="preserve">                                                    </w:t>
      </w:r>
      <w:r>
        <w:rPr>
          <w:rFonts w:hint="eastAsia" w:ascii="宋体" w:hAnsi="宋体" w:cs="宋体"/>
          <w:sz w:val="24"/>
          <w:szCs w:val="24"/>
        </w:rPr>
        <w:t>。</w:t>
      </w:r>
    </w:p>
    <w:p>
      <w:pPr>
        <w:snapToGrid w:val="0"/>
        <w:jc w:val="center"/>
        <w:rPr>
          <w:rFonts w:hint="eastAsia" w:ascii="宋体" w:hAnsi="宋体" w:cs="宋体"/>
          <w:sz w:val="24"/>
          <w:szCs w:val="24"/>
        </w:rPr>
      </w:pPr>
      <w:r>
        <w:rPr>
          <w:rFonts w:hint="eastAsia" w:ascii="宋体" w:hAnsi="宋体" w:cs="宋体"/>
          <w:sz w:val="24"/>
          <w:szCs w:val="24"/>
        </w:rPr>
        <w:t>第三章 物业服务质量标准</w:t>
      </w:r>
    </w:p>
    <w:p>
      <w:pPr>
        <w:snapToGrid w:val="0"/>
        <w:ind w:firstLine="480" w:firstLineChars="200"/>
        <w:rPr>
          <w:rFonts w:hint="eastAsia" w:ascii="宋体" w:hAnsi="宋体" w:cs="宋体"/>
          <w:sz w:val="24"/>
          <w:szCs w:val="24"/>
        </w:rPr>
      </w:pPr>
      <w:r>
        <w:rPr>
          <w:rFonts w:hint="eastAsia" w:ascii="宋体" w:hAnsi="宋体" w:cs="宋体"/>
          <w:sz w:val="24"/>
          <w:szCs w:val="24"/>
        </w:rPr>
        <w:t>第七条  乙方应按甲方招标文件、乙方投标文件及本合同约定提供物业服务。</w:t>
      </w:r>
    </w:p>
    <w:p>
      <w:pPr>
        <w:snapToGrid w:val="0"/>
        <w:ind w:firstLine="480" w:firstLineChars="200"/>
        <w:rPr>
          <w:rFonts w:hint="eastAsia" w:ascii="宋体" w:hAnsi="宋体" w:cs="宋体"/>
          <w:sz w:val="24"/>
          <w:szCs w:val="24"/>
        </w:rPr>
      </w:pPr>
      <w:r>
        <w:rPr>
          <w:rFonts w:hint="eastAsia" w:ascii="宋体" w:hAnsi="宋体" w:cs="宋体"/>
          <w:sz w:val="24"/>
          <w:szCs w:val="24"/>
        </w:rPr>
        <w:t>乙方提供的物业服务标准不得低于安徽省《住宅区物业服务标准》DB34/5000-2013公布的相应等级服务标准。</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本物业物业服务等级标准为 </w:t>
      </w:r>
      <w:r>
        <w:rPr>
          <w:rFonts w:hint="eastAsia" w:ascii="宋体" w:hAnsi="宋体" w:cs="宋体"/>
          <w:sz w:val="24"/>
          <w:szCs w:val="24"/>
          <w:u w:val="single"/>
        </w:rPr>
        <w:t xml:space="preserve">      </w:t>
      </w:r>
      <w:r>
        <w:rPr>
          <w:rFonts w:hint="eastAsia" w:ascii="宋体" w:hAnsi="宋体" w:cs="宋体"/>
          <w:sz w:val="24"/>
          <w:szCs w:val="24"/>
        </w:rPr>
        <w:t>级。（具体标准见附件五）。</w:t>
      </w:r>
    </w:p>
    <w:p>
      <w:pPr>
        <w:snapToGrid w:val="0"/>
        <w:ind w:firstLine="480" w:firstLineChars="200"/>
        <w:rPr>
          <w:rFonts w:hint="eastAsia" w:ascii="宋体" w:hAnsi="宋体" w:cs="宋体"/>
          <w:sz w:val="24"/>
          <w:szCs w:val="24"/>
        </w:rPr>
      </w:pPr>
      <w:r>
        <w:rPr>
          <w:rFonts w:hint="eastAsia" w:ascii="宋体" w:hAnsi="宋体" w:cs="宋体"/>
          <w:sz w:val="24"/>
          <w:szCs w:val="24"/>
        </w:rPr>
        <w:t>第八条  乙方应加强对物业使用中禁止行为的监管，对业主（物业使用人）违反《临时管理规约》以及物业管理等相关法律、法规规定的行为及时进行告知、劝阻、制止，对违法行为劝阻无效的应及时向有关行政主管部门报告并协助处理。</w:t>
      </w:r>
    </w:p>
    <w:p>
      <w:pPr>
        <w:snapToGrid w:val="0"/>
        <w:jc w:val="center"/>
        <w:rPr>
          <w:rFonts w:hint="eastAsia" w:ascii="宋体" w:hAnsi="宋体" w:cs="宋体"/>
          <w:sz w:val="24"/>
          <w:szCs w:val="24"/>
        </w:rPr>
      </w:pPr>
      <w:r>
        <w:rPr>
          <w:rFonts w:hint="eastAsia" w:ascii="宋体" w:hAnsi="宋体" w:cs="宋体"/>
          <w:sz w:val="24"/>
          <w:szCs w:val="24"/>
        </w:rPr>
        <w:t>第四章 物业服务费用</w:t>
      </w:r>
    </w:p>
    <w:p>
      <w:pPr>
        <w:snapToGrid w:val="0"/>
        <w:rPr>
          <w:rFonts w:hint="eastAsia" w:ascii="宋体" w:hAnsi="宋体" w:cs="宋体"/>
          <w:sz w:val="24"/>
          <w:szCs w:val="24"/>
        </w:rPr>
      </w:pPr>
      <w:r>
        <w:rPr>
          <w:rFonts w:hint="eastAsia" w:ascii="宋体" w:hAnsi="宋体" w:cs="宋体"/>
          <w:sz w:val="24"/>
          <w:szCs w:val="24"/>
        </w:rPr>
        <w:t>第九条  物业服务收费实行下述第</w:t>
      </w:r>
      <w:r>
        <w:rPr>
          <w:rFonts w:hint="eastAsia" w:ascii="宋体" w:hAnsi="宋体" w:cs="宋体"/>
          <w:sz w:val="24"/>
          <w:szCs w:val="24"/>
          <w:u w:val="single"/>
        </w:rPr>
        <w:t xml:space="preserve"> 一   </w:t>
      </w:r>
      <w:r>
        <w:rPr>
          <w:rFonts w:hint="eastAsia" w:ascii="宋体" w:hAnsi="宋体" w:cs="宋体"/>
          <w:sz w:val="24"/>
          <w:szCs w:val="24"/>
        </w:rPr>
        <w:t>种方式：</w:t>
      </w:r>
    </w:p>
    <w:p>
      <w:pPr>
        <w:snapToGrid w:val="0"/>
        <w:ind w:firstLine="480" w:firstLineChars="200"/>
        <w:rPr>
          <w:rFonts w:hint="eastAsia" w:ascii="宋体" w:hAnsi="宋体" w:cs="宋体"/>
          <w:sz w:val="24"/>
          <w:szCs w:val="24"/>
        </w:rPr>
      </w:pPr>
      <w:r>
        <w:rPr>
          <w:rFonts w:hint="eastAsia" w:ascii="宋体" w:hAnsi="宋体" w:cs="宋体"/>
          <w:sz w:val="24"/>
          <w:szCs w:val="24"/>
        </w:rPr>
        <w:t>（一）包干制。乙方按照本合同第十条约定收取物业服务费用后，无论盈亏均自行承担。</w:t>
      </w:r>
    </w:p>
    <w:p>
      <w:pPr>
        <w:snapToGrid w:val="0"/>
        <w:ind w:firstLine="480" w:firstLineChars="200"/>
        <w:rPr>
          <w:rFonts w:hint="eastAsia" w:ascii="宋体" w:hAnsi="宋体" w:cs="宋体"/>
          <w:sz w:val="24"/>
          <w:szCs w:val="24"/>
        </w:rPr>
      </w:pPr>
      <w:r>
        <w:rPr>
          <w:rFonts w:hint="eastAsia" w:ascii="宋体" w:hAnsi="宋体" w:cs="宋体"/>
          <w:sz w:val="24"/>
          <w:szCs w:val="24"/>
        </w:rPr>
        <w:t>（二）酬金制。乙方按照本合同第十条约定预收物业服务费，在按照下述第</w:t>
      </w:r>
      <w:r>
        <w:rPr>
          <w:rFonts w:hint="eastAsia" w:ascii="宋体" w:hAnsi="宋体" w:cs="宋体"/>
          <w:sz w:val="24"/>
          <w:szCs w:val="24"/>
          <w:u w:val="single"/>
        </w:rPr>
        <w:t xml:space="preserve">    </w:t>
      </w:r>
      <w:r>
        <w:rPr>
          <w:rFonts w:hint="eastAsia" w:ascii="宋体" w:hAnsi="宋体" w:cs="宋体"/>
          <w:sz w:val="24"/>
          <w:szCs w:val="24"/>
        </w:rPr>
        <w:t>种方式先提取酬金后，应全部用于本合同约定的支出。年度结算后结余部分转入下一年度继续使用，不足部分由全体业主承担。</w:t>
      </w:r>
    </w:p>
    <w:p>
      <w:pPr>
        <w:snapToGrid w:val="0"/>
        <w:ind w:firstLine="480" w:firstLineChars="200"/>
        <w:rPr>
          <w:rFonts w:hint="eastAsia" w:ascii="宋体" w:hAnsi="宋体" w:cs="宋体"/>
          <w:sz w:val="24"/>
          <w:szCs w:val="24"/>
        </w:rPr>
      </w:pPr>
      <w:r>
        <w:rPr>
          <w:rFonts w:hint="eastAsia" w:ascii="宋体" w:hAnsi="宋体" w:cs="宋体"/>
          <w:sz w:val="24"/>
          <w:szCs w:val="24"/>
        </w:rPr>
        <w:t>1.每</w:t>
      </w:r>
      <w:r>
        <w:rPr>
          <w:rFonts w:hint="eastAsia" w:ascii="宋体" w:hAnsi="宋体" w:cs="宋体"/>
          <w:sz w:val="24"/>
          <w:szCs w:val="24"/>
          <w:u w:val="single"/>
        </w:rPr>
        <w:t xml:space="preserve">   / </w:t>
      </w:r>
      <w:r>
        <w:rPr>
          <w:rFonts w:hint="eastAsia" w:ascii="宋体" w:hAnsi="宋体" w:cs="宋体"/>
          <w:sz w:val="24"/>
          <w:szCs w:val="24"/>
        </w:rPr>
        <w:t>（月/季/半年）按应收的物业服务费</w:t>
      </w:r>
      <w:r>
        <w:rPr>
          <w:rFonts w:hint="eastAsia" w:ascii="宋体" w:hAnsi="宋体" w:cs="宋体"/>
          <w:sz w:val="24"/>
          <w:szCs w:val="24"/>
          <w:u w:val="single"/>
        </w:rPr>
        <w:t xml:space="preserve">  /  </w:t>
      </w:r>
      <w:r>
        <w:rPr>
          <w:rFonts w:hint="eastAsia" w:ascii="宋体" w:hAnsi="宋体" w:cs="宋体"/>
          <w:sz w:val="24"/>
          <w:szCs w:val="24"/>
        </w:rPr>
        <w:t>%的比例提取；</w:t>
      </w:r>
    </w:p>
    <w:p>
      <w:pPr>
        <w:snapToGrid w:val="0"/>
        <w:ind w:firstLine="480" w:firstLineChars="200"/>
        <w:rPr>
          <w:rFonts w:hint="eastAsia" w:ascii="宋体" w:hAnsi="宋体" w:cs="宋体"/>
          <w:sz w:val="24"/>
          <w:szCs w:val="24"/>
        </w:rPr>
      </w:pPr>
      <w:r>
        <w:rPr>
          <w:rFonts w:hint="eastAsia" w:ascii="宋体" w:hAnsi="宋体" w:cs="宋体"/>
          <w:sz w:val="24"/>
          <w:szCs w:val="24"/>
        </w:rPr>
        <w:t>2.每</w:t>
      </w:r>
      <w:r>
        <w:rPr>
          <w:rFonts w:hint="eastAsia" w:ascii="宋体" w:hAnsi="宋体" w:cs="宋体"/>
          <w:sz w:val="24"/>
          <w:szCs w:val="24"/>
          <w:u w:val="single"/>
        </w:rPr>
        <w:t xml:space="preserve">  /  </w:t>
      </w:r>
      <w:r>
        <w:rPr>
          <w:rFonts w:hint="eastAsia" w:ascii="宋体" w:hAnsi="宋体" w:cs="宋体"/>
          <w:sz w:val="24"/>
          <w:szCs w:val="24"/>
        </w:rPr>
        <w:t>（月/季/半年）按</w:t>
      </w:r>
      <w:r>
        <w:rPr>
          <w:rFonts w:hint="eastAsia" w:ascii="宋体" w:hAnsi="宋体" w:cs="宋体"/>
          <w:sz w:val="24"/>
          <w:szCs w:val="24"/>
          <w:u w:val="single"/>
        </w:rPr>
        <w:t xml:space="preserve"> /   </w:t>
      </w:r>
      <w:r>
        <w:rPr>
          <w:rFonts w:hint="eastAsia" w:ascii="宋体" w:hAnsi="宋体" w:cs="宋体"/>
          <w:sz w:val="24"/>
          <w:szCs w:val="24"/>
        </w:rPr>
        <w:t>元的标准从预收的物业服务费中提取；</w:t>
      </w:r>
    </w:p>
    <w:p>
      <w:pPr>
        <w:snapToGrid w:val="0"/>
        <w:ind w:firstLine="480" w:firstLineChars="200"/>
        <w:rPr>
          <w:rFonts w:hint="eastAsia" w:ascii="宋体" w:hAnsi="宋体" w:cs="宋体"/>
          <w:sz w:val="24"/>
          <w:szCs w:val="24"/>
        </w:rPr>
      </w:pPr>
      <w:r>
        <w:rPr>
          <w:rFonts w:hint="eastAsia" w:ascii="宋体" w:hAnsi="宋体" w:cs="宋体"/>
          <w:sz w:val="24"/>
          <w:szCs w:val="24"/>
        </w:rPr>
        <w:t>3.</w:t>
      </w:r>
      <w:r>
        <w:rPr>
          <w:rFonts w:hint="eastAsia" w:ascii="宋体" w:hAnsi="宋体" w:cs="宋体"/>
          <w:sz w:val="24"/>
          <w:szCs w:val="24"/>
          <w:u w:val="single"/>
        </w:rPr>
        <w:t xml:space="preserve">                       </w:t>
      </w:r>
      <w:r>
        <w:rPr>
          <w:rFonts w:hint="eastAsia" w:ascii="宋体" w:hAnsi="宋体" w:cs="宋体"/>
          <w:sz w:val="24"/>
          <w:szCs w:val="24"/>
        </w:rPr>
        <w:t>。</w:t>
      </w:r>
    </w:p>
    <w:p>
      <w:pPr>
        <w:snapToGrid w:val="0"/>
        <w:ind w:firstLine="480" w:firstLineChars="200"/>
        <w:rPr>
          <w:rFonts w:hint="eastAsia" w:ascii="宋体" w:hAnsi="宋体" w:cs="宋体"/>
          <w:sz w:val="24"/>
          <w:szCs w:val="24"/>
        </w:rPr>
      </w:pPr>
      <w:r>
        <w:rPr>
          <w:rFonts w:hint="eastAsia" w:ascii="宋体" w:hAnsi="宋体" w:cs="宋体"/>
          <w:sz w:val="24"/>
          <w:szCs w:val="24"/>
        </w:rPr>
        <w:t>第十条  物业服务费按房屋建筑面积向业主收取，具体标准约定如下：</w:t>
      </w:r>
    </w:p>
    <w:p>
      <w:pPr>
        <w:snapToGrid w:val="0"/>
        <w:ind w:firstLine="480" w:firstLineChars="200"/>
        <w:rPr>
          <w:rFonts w:hint="eastAsia" w:ascii="宋体" w:hAnsi="宋体" w:cs="宋体"/>
          <w:sz w:val="24"/>
          <w:szCs w:val="24"/>
        </w:rPr>
      </w:pPr>
      <w:r>
        <w:rPr>
          <w:rFonts w:hint="eastAsia" w:ascii="宋体" w:hAnsi="宋体" w:cs="宋体"/>
          <w:sz w:val="24"/>
          <w:szCs w:val="24"/>
        </w:rPr>
        <w:t>多层住宅：</w:t>
      </w:r>
      <w:r>
        <w:rPr>
          <w:rFonts w:hint="eastAsia" w:ascii="宋体" w:hAnsi="宋体" w:cs="宋体"/>
          <w:sz w:val="24"/>
          <w:szCs w:val="24"/>
          <w:u w:val="single"/>
        </w:rPr>
        <w:t xml:space="preserve">                 </w:t>
      </w:r>
      <w:r>
        <w:rPr>
          <w:rFonts w:hint="eastAsia" w:ascii="宋体" w:hAnsi="宋体" w:cs="宋体"/>
          <w:sz w:val="24"/>
          <w:szCs w:val="24"/>
        </w:rPr>
        <w:t>元/月.平方米；</w:t>
      </w:r>
    </w:p>
    <w:p>
      <w:pPr>
        <w:snapToGrid w:val="0"/>
        <w:ind w:firstLine="480" w:firstLineChars="200"/>
        <w:rPr>
          <w:rFonts w:hint="eastAsia" w:ascii="宋体" w:hAnsi="宋体" w:cs="宋体"/>
          <w:sz w:val="24"/>
          <w:szCs w:val="24"/>
        </w:rPr>
      </w:pPr>
      <w:r>
        <w:rPr>
          <w:rFonts w:hint="eastAsia" w:ascii="宋体" w:hAnsi="宋体" w:cs="宋体"/>
          <w:sz w:val="24"/>
          <w:szCs w:val="24"/>
        </w:rPr>
        <w:t>有电梯住宅：</w:t>
      </w:r>
      <w:r>
        <w:rPr>
          <w:rFonts w:hint="eastAsia" w:ascii="宋体" w:hAnsi="宋体" w:cs="宋体"/>
          <w:sz w:val="24"/>
          <w:szCs w:val="24"/>
          <w:u w:val="single"/>
        </w:rPr>
        <w:t xml:space="preserve">            </w:t>
      </w:r>
      <w:r>
        <w:rPr>
          <w:rFonts w:hint="eastAsia" w:ascii="宋体" w:hAnsi="宋体" w:cs="宋体"/>
          <w:sz w:val="24"/>
          <w:szCs w:val="24"/>
        </w:rPr>
        <w:t>元/月.平方米；</w:t>
      </w:r>
    </w:p>
    <w:p>
      <w:pPr>
        <w:snapToGrid w:val="0"/>
        <w:ind w:firstLine="480" w:firstLineChars="200"/>
        <w:rPr>
          <w:rFonts w:hint="eastAsia" w:ascii="宋体" w:hAnsi="宋体" w:cs="宋体"/>
          <w:sz w:val="24"/>
          <w:szCs w:val="24"/>
        </w:rPr>
      </w:pPr>
      <w:r>
        <w:rPr>
          <w:rFonts w:hint="eastAsia" w:ascii="宋体" w:hAnsi="宋体" w:cs="宋体"/>
          <w:sz w:val="24"/>
          <w:szCs w:val="24"/>
        </w:rPr>
        <w:t>独立式住宅（别墅）：</w:t>
      </w:r>
      <w:r>
        <w:rPr>
          <w:rFonts w:hint="eastAsia" w:ascii="宋体" w:hAnsi="宋体" w:cs="宋体"/>
          <w:sz w:val="24"/>
          <w:szCs w:val="24"/>
          <w:u w:val="single"/>
        </w:rPr>
        <w:t xml:space="preserve">     </w:t>
      </w:r>
      <w:r>
        <w:rPr>
          <w:rFonts w:hint="eastAsia" w:ascii="宋体" w:hAnsi="宋体" w:cs="宋体"/>
          <w:sz w:val="24"/>
          <w:szCs w:val="24"/>
        </w:rPr>
        <w:t>元/月.平方米；</w:t>
      </w:r>
    </w:p>
    <w:p>
      <w:pPr>
        <w:snapToGrid w:val="0"/>
        <w:ind w:firstLine="480" w:firstLineChars="200"/>
        <w:rPr>
          <w:rFonts w:hint="eastAsia" w:ascii="宋体" w:hAnsi="宋体" w:cs="宋体"/>
          <w:sz w:val="24"/>
          <w:szCs w:val="24"/>
        </w:rPr>
      </w:pPr>
      <w:r>
        <w:rPr>
          <w:rFonts w:hint="eastAsia" w:ascii="宋体" w:hAnsi="宋体" w:cs="宋体"/>
          <w:sz w:val="24"/>
          <w:szCs w:val="24"/>
        </w:rPr>
        <w:t>办公楼：</w:t>
      </w:r>
      <w:r>
        <w:rPr>
          <w:rFonts w:hint="eastAsia" w:ascii="宋体" w:hAnsi="宋体" w:cs="宋体"/>
          <w:sz w:val="24"/>
          <w:szCs w:val="24"/>
          <w:u w:val="single"/>
        </w:rPr>
        <w:t xml:space="preserve">                   </w:t>
      </w:r>
      <w:r>
        <w:rPr>
          <w:rFonts w:hint="eastAsia" w:ascii="宋体" w:hAnsi="宋体" w:cs="宋体"/>
          <w:sz w:val="24"/>
          <w:szCs w:val="24"/>
        </w:rPr>
        <w:t>元/月.平方米；</w:t>
      </w:r>
    </w:p>
    <w:p>
      <w:pPr>
        <w:snapToGrid w:val="0"/>
        <w:ind w:firstLine="480" w:firstLineChars="200"/>
        <w:rPr>
          <w:rFonts w:hint="eastAsia" w:ascii="宋体" w:hAnsi="宋体" w:cs="宋体"/>
          <w:sz w:val="24"/>
          <w:szCs w:val="24"/>
        </w:rPr>
      </w:pPr>
      <w:r>
        <w:rPr>
          <w:rFonts w:hint="eastAsia" w:ascii="宋体" w:hAnsi="宋体" w:cs="宋体"/>
          <w:sz w:val="24"/>
          <w:szCs w:val="24"/>
        </w:rPr>
        <w:t>厂  房：</w:t>
      </w:r>
      <w:r>
        <w:rPr>
          <w:rFonts w:hint="eastAsia" w:ascii="宋体" w:hAnsi="宋体" w:cs="宋体"/>
          <w:sz w:val="24"/>
          <w:szCs w:val="24"/>
          <w:u w:val="single"/>
        </w:rPr>
        <w:t xml:space="preserve">                   </w:t>
      </w:r>
      <w:r>
        <w:rPr>
          <w:rFonts w:hint="eastAsia" w:ascii="宋体" w:hAnsi="宋体" w:cs="宋体"/>
          <w:sz w:val="24"/>
          <w:szCs w:val="24"/>
        </w:rPr>
        <w:t>元/月.平方米；</w:t>
      </w:r>
    </w:p>
    <w:p>
      <w:pPr>
        <w:snapToGrid w:val="0"/>
        <w:ind w:firstLine="480" w:firstLineChars="200"/>
        <w:rPr>
          <w:rFonts w:hint="eastAsia" w:ascii="宋体" w:hAnsi="宋体" w:cs="宋体"/>
          <w:sz w:val="24"/>
          <w:szCs w:val="24"/>
        </w:rPr>
      </w:pPr>
      <w:r>
        <w:rPr>
          <w:rFonts w:hint="eastAsia" w:ascii="宋体" w:hAnsi="宋体" w:cs="宋体"/>
          <w:sz w:val="24"/>
          <w:szCs w:val="24"/>
        </w:rPr>
        <w:t>商业物业：</w:t>
      </w:r>
      <w:r>
        <w:rPr>
          <w:rFonts w:hint="eastAsia" w:ascii="宋体" w:hAnsi="宋体" w:cs="宋体"/>
          <w:sz w:val="24"/>
          <w:szCs w:val="24"/>
          <w:u w:val="single"/>
        </w:rPr>
        <w:t xml:space="preserve">              </w:t>
      </w:r>
      <w:r>
        <w:rPr>
          <w:rFonts w:hint="eastAsia" w:ascii="宋体" w:hAnsi="宋体" w:cs="宋体"/>
          <w:sz w:val="24"/>
          <w:szCs w:val="24"/>
        </w:rPr>
        <w:t>元/月.平方米；</w:t>
      </w:r>
    </w:p>
    <w:p>
      <w:pPr>
        <w:snapToGrid w:val="0"/>
        <w:ind w:firstLine="470" w:firstLineChars="196"/>
        <w:rPr>
          <w:rFonts w:hint="eastAsia" w:ascii="宋体" w:hAnsi="宋体" w:cs="宋体"/>
          <w:sz w:val="24"/>
          <w:szCs w:val="24"/>
        </w:rPr>
      </w:pPr>
      <w:r>
        <w:rPr>
          <w:rFonts w:hint="eastAsia" w:ascii="宋体" w:hAnsi="宋体" w:cs="宋体"/>
          <w:sz w:val="24"/>
          <w:szCs w:val="24"/>
        </w:rPr>
        <w:t>其他物业：</w:t>
      </w:r>
      <w:r>
        <w:rPr>
          <w:rFonts w:hint="eastAsia" w:ascii="宋体" w:hAnsi="宋体" w:cs="宋体"/>
          <w:sz w:val="24"/>
          <w:szCs w:val="24"/>
          <w:u w:val="single"/>
        </w:rPr>
        <w:t xml:space="preserve">                 </w:t>
      </w:r>
      <w:r>
        <w:rPr>
          <w:rFonts w:hint="eastAsia" w:ascii="宋体" w:hAnsi="宋体" w:cs="宋体"/>
          <w:sz w:val="24"/>
          <w:szCs w:val="24"/>
        </w:rPr>
        <w:t>元/月.平方米。</w:t>
      </w:r>
    </w:p>
    <w:p>
      <w:pPr>
        <w:snapToGrid w:val="0"/>
        <w:ind w:firstLine="480" w:firstLineChars="200"/>
        <w:rPr>
          <w:rFonts w:hint="eastAsia" w:ascii="宋体" w:hAnsi="宋体" w:cs="宋体"/>
          <w:sz w:val="24"/>
          <w:szCs w:val="24"/>
        </w:rPr>
      </w:pPr>
      <w:r>
        <w:rPr>
          <w:rFonts w:hint="eastAsia" w:ascii="宋体" w:hAnsi="宋体" w:cs="宋体"/>
          <w:sz w:val="24"/>
          <w:szCs w:val="24"/>
        </w:rPr>
        <w:t> 本条约定的物业服务费不含物业保修期满后物业共用部位、共用设施设备大修、中修和更新、改造的费用。</w:t>
      </w:r>
    </w:p>
    <w:p>
      <w:pPr>
        <w:snapToGrid w:val="0"/>
        <w:ind w:firstLine="480" w:firstLineChars="200"/>
        <w:rPr>
          <w:rFonts w:hint="eastAsia" w:ascii="宋体" w:hAnsi="宋体" w:cs="宋体"/>
          <w:sz w:val="24"/>
          <w:szCs w:val="24"/>
        </w:rPr>
      </w:pPr>
      <w:r>
        <w:rPr>
          <w:rFonts w:hint="eastAsia" w:ascii="宋体" w:hAnsi="宋体" w:cs="宋体"/>
          <w:sz w:val="24"/>
          <w:szCs w:val="24"/>
        </w:rPr>
        <w:t>第十一条  实行物业服务费用包干制的，物业服务费的构成包括物业服务成本、法定税费和物业服务企业的利润。</w:t>
      </w:r>
    </w:p>
    <w:p>
      <w:pPr>
        <w:snapToGrid w:val="0"/>
        <w:ind w:firstLine="480" w:firstLineChars="200"/>
        <w:rPr>
          <w:rFonts w:hint="eastAsia" w:ascii="宋体" w:hAnsi="宋体" w:cs="宋体"/>
          <w:sz w:val="24"/>
          <w:szCs w:val="24"/>
        </w:rPr>
      </w:pPr>
      <w:r>
        <w:rPr>
          <w:rFonts w:hint="eastAsia" w:ascii="宋体" w:hAnsi="宋体" w:cs="宋体"/>
          <w:sz w:val="24"/>
          <w:szCs w:val="24"/>
        </w:rPr>
        <w:t>实行物业服务费用酬金制的，预收的物业服务费包括物业服务支出和物业服务企业的酬金。</w:t>
      </w:r>
    </w:p>
    <w:p>
      <w:pPr>
        <w:snapToGrid w:val="0"/>
        <w:ind w:firstLine="480" w:firstLineChars="200"/>
        <w:rPr>
          <w:rFonts w:hint="eastAsia" w:ascii="宋体" w:hAnsi="宋体" w:cs="宋体"/>
          <w:sz w:val="24"/>
          <w:szCs w:val="24"/>
        </w:rPr>
      </w:pPr>
      <w:r>
        <w:rPr>
          <w:rFonts w:hint="eastAsia" w:ascii="宋体" w:hAnsi="宋体" w:cs="宋体"/>
          <w:sz w:val="24"/>
          <w:szCs w:val="24"/>
        </w:rPr>
        <w:t>物业服务成本或物业服务支出构成一般包括以下部分：</w:t>
      </w:r>
    </w:p>
    <w:p>
      <w:pPr>
        <w:snapToGrid w:val="0"/>
        <w:ind w:firstLine="480" w:firstLineChars="200"/>
        <w:rPr>
          <w:rFonts w:hint="eastAsia" w:ascii="宋体" w:hAnsi="宋体" w:cs="宋体"/>
          <w:sz w:val="24"/>
          <w:szCs w:val="24"/>
        </w:rPr>
      </w:pPr>
      <w:r>
        <w:rPr>
          <w:rFonts w:hint="eastAsia" w:ascii="宋体" w:hAnsi="宋体" w:cs="宋体"/>
          <w:sz w:val="24"/>
          <w:szCs w:val="24"/>
        </w:rPr>
        <w:t>（1）管理服务人员的工资、社会保险和按规定提取的福利费等；</w:t>
      </w:r>
    </w:p>
    <w:p>
      <w:pPr>
        <w:snapToGrid w:val="0"/>
        <w:ind w:firstLine="480" w:firstLineChars="200"/>
        <w:rPr>
          <w:rFonts w:hint="eastAsia" w:ascii="宋体" w:hAnsi="宋体" w:cs="宋体"/>
          <w:spacing w:val="-4"/>
          <w:sz w:val="24"/>
          <w:szCs w:val="24"/>
        </w:rPr>
      </w:pPr>
      <w:r>
        <w:rPr>
          <w:rFonts w:hint="eastAsia" w:ascii="宋体" w:hAnsi="宋体" w:cs="宋体"/>
          <w:sz w:val="24"/>
          <w:szCs w:val="24"/>
        </w:rPr>
        <w:t>（2）</w:t>
      </w:r>
      <w:r>
        <w:rPr>
          <w:rFonts w:hint="eastAsia" w:ascii="宋体" w:hAnsi="宋体" w:cs="宋体"/>
          <w:spacing w:val="-4"/>
          <w:sz w:val="24"/>
          <w:szCs w:val="24"/>
        </w:rPr>
        <w:t>物业共用部位、共用设施设备的日常运行、维修、养护费用；</w:t>
      </w:r>
    </w:p>
    <w:p>
      <w:pPr>
        <w:snapToGrid w:val="0"/>
        <w:ind w:firstLine="480" w:firstLineChars="200"/>
        <w:rPr>
          <w:rFonts w:hint="eastAsia" w:ascii="宋体" w:hAnsi="宋体" w:cs="宋体"/>
          <w:sz w:val="24"/>
          <w:szCs w:val="24"/>
        </w:rPr>
      </w:pPr>
      <w:r>
        <w:rPr>
          <w:rFonts w:hint="eastAsia" w:ascii="宋体" w:hAnsi="宋体" w:cs="宋体"/>
          <w:sz w:val="24"/>
          <w:szCs w:val="24"/>
        </w:rPr>
        <w:t>（3）物业管理区域清洁卫生费用；</w:t>
      </w:r>
    </w:p>
    <w:p>
      <w:pPr>
        <w:snapToGrid w:val="0"/>
        <w:ind w:firstLine="480" w:firstLineChars="200"/>
        <w:rPr>
          <w:rFonts w:hint="eastAsia" w:ascii="宋体" w:hAnsi="宋体" w:cs="宋体"/>
          <w:sz w:val="24"/>
          <w:szCs w:val="24"/>
        </w:rPr>
      </w:pPr>
      <w:r>
        <w:rPr>
          <w:rFonts w:hint="eastAsia" w:ascii="宋体" w:hAnsi="宋体" w:cs="宋体"/>
          <w:sz w:val="24"/>
          <w:szCs w:val="24"/>
        </w:rPr>
        <w:t>（4）物业管理区域绿化养护费用；</w:t>
      </w:r>
    </w:p>
    <w:p>
      <w:pPr>
        <w:snapToGrid w:val="0"/>
        <w:ind w:firstLine="480" w:firstLineChars="200"/>
        <w:rPr>
          <w:rFonts w:hint="eastAsia" w:ascii="宋体" w:hAnsi="宋体" w:cs="宋体"/>
          <w:sz w:val="24"/>
          <w:szCs w:val="24"/>
        </w:rPr>
      </w:pPr>
      <w:r>
        <w:rPr>
          <w:rFonts w:hint="eastAsia" w:ascii="宋体" w:hAnsi="宋体" w:cs="宋体"/>
          <w:sz w:val="24"/>
          <w:szCs w:val="24"/>
        </w:rPr>
        <w:t>（5）物业管理区域秩序维护费用；</w:t>
      </w:r>
    </w:p>
    <w:p>
      <w:pPr>
        <w:snapToGrid w:val="0"/>
        <w:ind w:firstLine="480" w:firstLineChars="200"/>
        <w:rPr>
          <w:rFonts w:hint="eastAsia" w:ascii="宋体" w:hAnsi="宋体" w:cs="宋体"/>
          <w:sz w:val="24"/>
          <w:szCs w:val="24"/>
        </w:rPr>
      </w:pPr>
      <w:r>
        <w:rPr>
          <w:rFonts w:hint="eastAsia" w:ascii="宋体" w:hAnsi="宋体" w:cs="宋体"/>
          <w:sz w:val="24"/>
          <w:szCs w:val="24"/>
        </w:rPr>
        <w:t>（6）办公费用；</w:t>
      </w:r>
    </w:p>
    <w:p>
      <w:pPr>
        <w:snapToGrid w:val="0"/>
        <w:ind w:firstLine="480" w:firstLineChars="200"/>
        <w:rPr>
          <w:rFonts w:hint="eastAsia" w:ascii="宋体" w:hAnsi="宋体" w:cs="宋体"/>
          <w:sz w:val="24"/>
          <w:szCs w:val="24"/>
        </w:rPr>
      </w:pPr>
      <w:r>
        <w:rPr>
          <w:rFonts w:hint="eastAsia" w:ascii="宋体" w:hAnsi="宋体" w:cs="宋体"/>
          <w:sz w:val="24"/>
          <w:szCs w:val="24"/>
        </w:rPr>
        <w:t>（7）物业服务企业固定资产折旧；</w:t>
      </w:r>
    </w:p>
    <w:p>
      <w:pPr>
        <w:snapToGrid w:val="0"/>
        <w:ind w:firstLine="480" w:firstLineChars="200"/>
        <w:rPr>
          <w:rFonts w:hint="eastAsia" w:ascii="宋体" w:hAnsi="宋体" w:cs="宋体"/>
          <w:sz w:val="24"/>
          <w:szCs w:val="24"/>
        </w:rPr>
      </w:pPr>
      <w:r>
        <w:rPr>
          <w:rFonts w:hint="eastAsia" w:ascii="宋体" w:hAnsi="宋体" w:cs="宋体"/>
          <w:sz w:val="24"/>
          <w:szCs w:val="24"/>
        </w:rPr>
        <w:t>（8）物业共用部位、共用设施设备及公众责任保险费用；</w:t>
      </w:r>
    </w:p>
    <w:p>
      <w:pPr>
        <w:snapToGrid w:val="0"/>
        <w:ind w:firstLine="480" w:firstLineChars="200"/>
        <w:rPr>
          <w:rFonts w:hint="eastAsia" w:ascii="宋体" w:hAnsi="宋体" w:cs="宋体"/>
          <w:sz w:val="24"/>
          <w:szCs w:val="24"/>
        </w:rPr>
      </w:pPr>
      <w:r>
        <w:rPr>
          <w:rFonts w:hint="eastAsia" w:ascii="宋体" w:hAnsi="宋体" w:cs="宋体"/>
          <w:sz w:val="24"/>
          <w:szCs w:val="24"/>
        </w:rPr>
        <w:t>（9）经业主同意的其它费用。</w:t>
      </w:r>
    </w:p>
    <w:p>
      <w:pPr>
        <w:snapToGrid w:val="0"/>
        <w:ind w:firstLine="480" w:firstLineChars="200"/>
        <w:rPr>
          <w:rFonts w:hint="eastAsia" w:ascii="宋体" w:hAnsi="宋体" w:cs="宋体"/>
          <w:sz w:val="24"/>
          <w:szCs w:val="24"/>
        </w:rPr>
      </w:pPr>
      <w:r>
        <w:rPr>
          <w:rFonts w:hint="eastAsia" w:ascii="宋体" w:hAnsi="宋体" w:cs="宋体"/>
          <w:sz w:val="24"/>
          <w:szCs w:val="24"/>
        </w:rPr>
        <w:t>第十二条  物业服务费按</w:t>
      </w:r>
      <w:r>
        <w:rPr>
          <w:rFonts w:hint="eastAsia" w:ascii="宋体" w:hAnsi="宋体" w:cs="宋体"/>
          <w:sz w:val="24"/>
          <w:szCs w:val="24"/>
          <w:u w:val="single"/>
        </w:rPr>
        <w:t xml:space="preserve">    </w:t>
      </w:r>
      <w:r>
        <w:rPr>
          <w:rFonts w:hint="eastAsia" w:ascii="宋体" w:hAnsi="宋体" w:cs="宋体"/>
          <w:sz w:val="24"/>
          <w:szCs w:val="24"/>
        </w:rPr>
        <w:t>交纳，业主应在（每年的第</w:t>
      </w:r>
      <w:r>
        <w:rPr>
          <w:rFonts w:hint="eastAsia" w:ascii="宋体" w:hAnsi="宋体" w:cs="宋体"/>
          <w:sz w:val="24"/>
          <w:szCs w:val="24"/>
          <w:u w:val="single"/>
        </w:rPr>
        <w:t xml:space="preserve">     </w:t>
      </w:r>
      <w:r>
        <w:rPr>
          <w:rFonts w:hint="eastAsia" w:ascii="宋体" w:hAnsi="宋体" w:cs="宋体"/>
          <w:sz w:val="24"/>
          <w:szCs w:val="24"/>
        </w:rPr>
        <w:t>日前）履行交纳义务。业主或物业使用人逾期缴纳物业服务费的，从逾期之日起按欠缴费用的每日千分之</w:t>
      </w:r>
      <w:r>
        <w:rPr>
          <w:rFonts w:hint="eastAsia" w:ascii="宋体" w:hAnsi="宋体" w:cs="宋体"/>
          <w:sz w:val="24"/>
          <w:szCs w:val="24"/>
          <w:u w:val="single"/>
        </w:rPr>
        <w:t xml:space="preserve"> 0.3%   </w:t>
      </w:r>
      <w:r>
        <w:rPr>
          <w:rFonts w:hint="eastAsia" w:ascii="宋体" w:hAnsi="宋体" w:cs="宋体"/>
          <w:sz w:val="24"/>
          <w:szCs w:val="24"/>
        </w:rPr>
        <w:t xml:space="preserve">  </w:t>
      </w:r>
    </w:p>
    <w:p>
      <w:pPr>
        <w:snapToGrid w:val="0"/>
        <w:rPr>
          <w:rFonts w:hint="eastAsia" w:ascii="宋体" w:hAnsi="宋体" w:cs="宋体"/>
          <w:sz w:val="24"/>
          <w:szCs w:val="24"/>
        </w:rPr>
      </w:pPr>
      <w:r>
        <w:rPr>
          <w:rFonts w:hint="eastAsia" w:ascii="宋体" w:hAnsi="宋体" w:cs="宋体"/>
          <w:sz w:val="24"/>
          <w:szCs w:val="24"/>
        </w:rPr>
        <w:t>收取滞纳金。</w:t>
      </w:r>
    </w:p>
    <w:p>
      <w:pPr>
        <w:snapToGrid w:val="0"/>
        <w:ind w:firstLine="480" w:firstLineChars="200"/>
        <w:rPr>
          <w:rFonts w:hint="eastAsia" w:ascii="宋体" w:hAnsi="宋体" w:cs="宋体"/>
          <w:sz w:val="24"/>
          <w:szCs w:val="24"/>
        </w:rPr>
      </w:pPr>
      <w:r>
        <w:rPr>
          <w:rFonts w:hint="eastAsia" w:ascii="宋体" w:hAnsi="宋体" w:cs="宋体"/>
          <w:sz w:val="24"/>
          <w:szCs w:val="24"/>
        </w:rPr>
        <w:t>第十三条  物业管理区域内已竣工但尚未售出，或者因甲方原因未能按时交付物业买受人的物业，其物业服务费由甲方承担，按面积支付给乙方。</w:t>
      </w:r>
    </w:p>
    <w:p>
      <w:pPr>
        <w:snapToGrid w:val="0"/>
        <w:ind w:firstLine="480" w:firstLineChars="200"/>
        <w:rPr>
          <w:rFonts w:hint="eastAsia" w:ascii="宋体" w:hAnsi="宋体" w:cs="宋体"/>
          <w:sz w:val="24"/>
          <w:szCs w:val="24"/>
        </w:rPr>
      </w:pPr>
      <w:r>
        <w:rPr>
          <w:rFonts w:hint="eastAsia" w:ascii="宋体" w:hAnsi="宋体" w:cs="宋体"/>
          <w:sz w:val="24"/>
          <w:szCs w:val="24"/>
        </w:rPr>
        <w:t>第十四条  业主和物业使用人约定由物业使用人交纳物业服务费用的，从其约定，业主负连带缴纳责任。业主与物业使用人之间的交费约定，业主应及时书面告知乙方。业主在转让物业时，须交清转让之前的物业服务费用。</w:t>
      </w:r>
    </w:p>
    <w:p>
      <w:pPr>
        <w:snapToGrid w:val="0"/>
        <w:ind w:firstLine="480" w:firstLineChars="200"/>
        <w:rPr>
          <w:rFonts w:hint="eastAsia" w:ascii="宋体" w:hAnsi="宋体" w:cs="宋体"/>
          <w:sz w:val="24"/>
          <w:szCs w:val="24"/>
        </w:rPr>
      </w:pPr>
      <w:r>
        <w:rPr>
          <w:rFonts w:hint="eastAsia" w:ascii="宋体" w:hAnsi="宋体" w:cs="宋体"/>
          <w:sz w:val="24"/>
          <w:szCs w:val="24"/>
        </w:rPr>
        <w:t>第十五条  本物业共用设施设备运行费用未计入物业服务费的，根据实际发生额，由业主按政策规定或所拥有的专有面积比例分摊，未出售面积分摊费用由甲方承担。</w:t>
      </w:r>
    </w:p>
    <w:p>
      <w:pPr>
        <w:snapToGrid w:val="0"/>
        <w:ind w:firstLine="480" w:firstLineChars="200"/>
        <w:rPr>
          <w:rFonts w:hint="eastAsia" w:ascii="宋体" w:hAnsi="宋体" w:cs="宋体"/>
          <w:sz w:val="24"/>
          <w:szCs w:val="24"/>
        </w:rPr>
      </w:pPr>
      <w:r>
        <w:rPr>
          <w:rFonts w:hint="eastAsia" w:ascii="宋体" w:hAnsi="宋体" w:cs="宋体"/>
          <w:sz w:val="24"/>
          <w:szCs w:val="24"/>
        </w:rPr>
        <w:t>第十六条  乙方应于（每年）</w:t>
      </w:r>
      <w:r>
        <w:rPr>
          <w:rFonts w:hint="eastAsia" w:ascii="宋体" w:hAnsi="宋体" w:cs="宋体"/>
          <w:sz w:val="24"/>
          <w:szCs w:val="24"/>
          <w:u w:val="single"/>
        </w:rPr>
        <w:t xml:space="preserve"> 3 </w:t>
      </w:r>
      <w:r>
        <w:rPr>
          <w:rFonts w:hint="eastAsia" w:ascii="宋体" w:hAnsi="宋体" w:cs="宋体"/>
          <w:sz w:val="24"/>
          <w:szCs w:val="24"/>
        </w:rPr>
        <w:t>月</w:t>
      </w:r>
      <w:r>
        <w:rPr>
          <w:rFonts w:hint="eastAsia" w:ascii="宋体" w:hAnsi="宋体" w:cs="宋体"/>
          <w:sz w:val="24"/>
          <w:szCs w:val="24"/>
          <w:u w:val="single"/>
        </w:rPr>
        <w:t xml:space="preserve"> 1 </w:t>
      </w:r>
      <w:r>
        <w:rPr>
          <w:rFonts w:hint="eastAsia" w:ascii="宋体" w:hAnsi="宋体" w:cs="宋体"/>
          <w:sz w:val="24"/>
          <w:szCs w:val="24"/>
        </w:rPr>
        <w:t>日向全体业主公布物业服务费用收支明细情况。</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 物业服务收费实行酬金制方式的，乙方应制定物业服务费用年度预决算，并向全体业主公示。</w:t>
      </w:r>
    </w:p>
    <w:p>
      <w:pPr>
        <w:snapToGrid w:val="0"/>
        <w:ind w:firstLine="480" w:firstLineChars="200"/>
        <w:rPr>
          <w:rFonts w:hint="eastAsia" w:ascii="宋体" w:hAnsi="宋体" w:cs="宋体"/>
          <w:sz w:val="24"/>
          <w:szCs w:val="24"/>
        </w:rPr>
      </w:pPr>
      <w:r>
        <w:rPr>
          <w:rFonts w:hint="eastAsia" w:ascii="宋体" w:hAnsi="宋体" w:cs="宋体"/>
          <w:sz w:val="24"/>
          <w:szCs w:val="24"/>
        </w:rPr>
        <w:t>对物业服务费用收支情况有争议的，甲乙双方同意采取以下方式解决：</w:t>
      </w:r>
    </w:p>
    <w:p>
      <w:pPr>
        <w:snapToGrid w:val="0"/>
        <w:ind w:firstLine="480" w:firstLineChars="200"/>
        <w:rPr>
          <w:rFonts w:hint="eastAsia" w:ascii="宋体" w:hAnsi="宋体" w:cs="宋体"/>
          <w:sz w:val="24"/>
          <w:szCs w:val="24"/>
        </w:rPr>
      </w:pPr>
      <w:r>
        <w:rPr>
          <w:rFonts w:hint="eastAsia" w:ascii="宋体" w:hAnsi="宋体" w:cs="宋体"/>
          <w:sz w:val="24"/>
          <w:szCs w:val="24"/>
        </w:rPr>
        <w:t>（一）</w:t>
      </w:r>
      <w:r>
        <w:rPr>
          <w:rFonts w:hint="eastAsia" w:ascii="宋体" w:hAnsi="宋体" w:cs="宋体"/>
          <w:sz w:val="24"/>
          <w:szCs w:val="24"/>
          <w:u w:val="single"/>
        </w:rPr>
        <w:t xml:space="preserve">                                  </w:t>
      </w:r>
      <w:r>
        <w:rPr>
          <w:rFonts w:hint="eastAsia" w:ascii="宋体" w:hAnsi="宋体" w:cs="宋体"/>
          <w:sz w:val="24"/>
          <w:szCs w:val="24"/>
        </w:rPr>
        <w:t>；</w:t>
      </w:r>
    </w:p>
    <w:p>
      <w:pPr>
        <w:snapToGrid w:val="0"/>
        <w:ind w:firstLine="480" w:firstLineChars="200"/>
        <w:rPr>
          <w:rFonts w:hint="eastAsia" w:ascii="宋体" w:hAnsi="宋体" w:cs="宋体"/>
          <w:sz w:val="24"/>
          <w:szCs w:val="24"/>
        </w:rPr>
      </w:pPr>
      <w:r>
        <w:rPr>
          <w:rFonts w:hint="eastAsia" w:ascii="宋体" w:hAnsi="宋体" w:cs="宋体"/>
          <w:sz w:val="24"/>
          <w:szCs w:val="24"/>
        </w:rPr>
        <w:t>（二）</w:t>
      </w:r>
      <w:r>
        <w:rPr>
          <w:rFonts w:hint="eastAsia" w:ascii="宋体" w:hAnsi="宋体" w:cs="宋体"/>
          <w:sz w:val="24"/>
          <w:szCs w:val="24"/>
          <w:u w:val="single"/>
        </w:rPr>
        <w:t xml:space="preserve">                                  </w:t>
      </w:r>
      <w:r>
        <w:rPr>
          <w:rFonts w:hint="eastAsia" w:ascii="宋体" w:hAnsi="宋体" w:cs="宋体"/>
          <w:sz w:val="24"/>
          <w:szCs w:val="24"/>
        </w:rPr>
        <w:t> 。</w:t>
      </w:r>
    </w:p>
    <w:p>
      <w:pPr>
        <w:snapToGrid w:val="0"/>
        <w:ind w:firstLine="480" w:firstLineChars="200"/>
        <w:rPr>
          <w:rFonts w:hint="eastAsia" w:ascii="宋体" w:hAnsi="宋体" w:cs="宋体"/>
          <w:sz w:val="24"/>
          <w:szCs w:val="24"/>
        </w:rPr>
      </w:pPr>
      <w:r>
        <w:rPr>
          <w:rFonts w:hint="eastAsia" w:ascii="宋体" w:hAnsi="宋体" w:cs="宋体"/>
          <w:sz w:val="24"/>
          <w:szCs w:val="24"/>
        </w:rPr>
        <w:t>第十七条  乙方在本物业收取的停车服务费。占用业主共有的道路或者其他场地停放车辆的，应当经业主大会同意并收取车位场地使用费，车位场地使用费归全体业主共有。利用非公共部位的场地、设施停车收费的，按照本合同约定标准执行。</w:t>
      </w:r>
    </w:p>
    <w:p>
      <w:pPr>
        <w:snapToGrid w:val="0"/>
        <w:ind w:firstLine="480" w:firstLineChars="200"/>
        <w:rPr>
          <w:rFonts w:hint="eastAsia" w:ascii="宋体" w:hAnsi="宋体" w:cs="宋体"/>
          <w:sz w:val="24"/>
          <w:szCs w:val="24"/>
        </w:rPr>
      </w:pPr>
      <w:r>
        <w:rPr>
          <w:rFonts w:hint="eastAsia" w:ascii="宋体" w:hAnsi="宋体" w:cs="宋体"/>
          <w:sz w:val="24"/>
          <w:szCs w:val="24"/>
        </w:rPr>
        <w:t>1．地面车位</w:t>
      </w:r>
    </w:p>
    <w:p>
      <w:pPr>
        <w:snapToGrid w:val="0"/>
        <w:ind w:firstLine="480" w:firstLineChars="200"/>
        <w:rPr>
          <w:rFonts w:hint="eastAsia" w:ascii="宋体" w:hAnsi="宋体" w:cs="宋体"/>
          <w:sz w:val="24"/>
          <w:szCs w:val="24"/>
        </w:rPr>
      </w:pPr>
      <w:r>
        <w:rPr>
          <w:rFonts w:hint="eastAsia" w:ascii="宋体" w:hAnsi="宋体" w:cs="宋体"/>
          <w:sz w:val="24"/>
          <w:szCs w:val="24"/>
        </w:rPr>
        <w:t>（1）中型机动车</w:t>
      </w:r>
      <w:r>
        <w:rPr>
          <w:rFonts w:hint="eastAsia" w:ascii="宋体" w:hAnsi="宋体" w:cs="宋体"/>
          <w:sz w:val="24"/>
          <w:szCs w:val="24"/>
          <w:u w:val="single"/>
        </w:rPr>
        <w:t xml:space="preserve">      </w:t>
      </w:r>
      <w:r>
        <w:rPr>
          <w:rFonts w:hint="eastAsia" w:ascii="宋体" w:hAnsi="宋体" w:cs="宋体"/>
          <w:sz w:val="24"/>
          <w:szCs w:val="24"/>
        </w:rPr>
        <w:t>元/月/辆</w:t>
      </w:r>
    </w:p>
    <w:p>
      <w:pPr>
        <w:snapToGrid w:val="0"/>
        <w:ind w:firstLine="480" w:firstLineChars="200"/>
        <w:rPr>
          <w:rFonts w:hint="eastAsia" w:ascii="宋体" w:hAnsi="宋体" w:cs="宋体"/>
          <w:sz w:val="24"/>
          <w:szCs w:val="24"/>
        </w:rPr>
      </w:pPr>
      <w:r>
        <w:rPr>
          <w:rFonts w:hint="eastAsia" w:ascii="宋体" w:hAnsi="宋体" w:cs="宋体"/>
          <w:sz w:val="24"/>
          <w:szCs w:val="24"/>
        </w:rPr>
        <w:t>（2）小型机动车</w:t>
      </w:r>
      <w:r>
        <w:rPr>
          <w:rFonts w:hint="eastAsia" w:ascii="宋体" w:hAnsi="宋体" w:cs="宋体"/>
          <w:sz w:val="24"/>
          <w:szCs w:val="24"/>
          <w:u w:val="single"/>
        </w:rPr>
        <w:t xml:space="preserve">       </w:t>
      </w:r>
      <w:r>
        <w:rPr>
          <w:rFonts w:hint="eastAsia" w:ascii="宋体" w:hAnsi="宋体" w:cs="宋体"/>
          <w:sz w:val="24"/>
          <w:szCs w:val="24"/>
        </w:rPr>
        <w:t>元/月/辆</w:t>
      </w:r>
    </w:p>
    <w:p>
      <w:pPr>
        <w:snapToGrid w:val="0"/>
        <w:ind w:firstLine="480" w:firstLineChars="200"/>
        <w:rPr>
          <w:rFonts w:hint="eastAsia" w:ascii="宋体" w:hAnsi="宋体" w:cs="宋体"/>
          <w:sz w:val="24"/>
          <w:szCs w:val="24"/>
        </w:rPr>
      </w:pPr>
      <w:r>
        <w:rPr>
          <w:rFonts w:hint="eastAsia" w:ascii="宋体" w:hAnsi="宋体" w:cs="宋体"/>
          <w:sz w:val="24"/>
          <w:szCs w:val="24"/>
        </w:rPr>
        <w:t>（3）摩托车（含燃油车）</w:t>
      </w:r>
      <w:r>
        <w:rPr>
          <w:rFonts w:hint="eastAsia" w:ascii="宋体" w:hAnsi="宋体" w:cs="宋体"/>
          <w:sz w:val="24"/>
          <w:szCs w:val="24"/>
          <w:u w:val="single"/>
        </w:rPr>
        <w:t xml:space="preserve">        </w:t>
      </w:r>
      <w:r>
        <w:rPr>
          <w:rFonts w:hint="eastAsia" w:ascii="宋体" w:hAnsi="宋体" w:cs="宋体"/>
          <w:sz w:val="24"/>
          <w:szCs w:val="24"/>
        </w:rPr>
        <w:t>元/月/辆</w:t>
      </w:r>
    </w:p>
    <w:p>
      <w:pPr>
        <w:snapToGrid w:val="0"/>
        <w:ind w:firstLine="480" w:firstLineChars="200"/>
        <w:rPr>
          <w:rFonts w:hint="eastAsia" w:ascii="宋体" w:hAnsi="宋体" w:cs="宋体"/>
          <w:sz w:val="24"/>
          <w:szCs w:val="24"/>
        </w:rPr>
      </w:pPr>
      <w:r>
        <w:rPr>
          <w:rFonts w:hint="eastAsia" w:ascii="宋体" w:hAnsi="宋体" w:cs="宋体"/>
          <w:sz w:val="24"/>
          <w:szCs w:val="24"/>
        </w:rPr>
        <w:t>（4）电动车</w:t>
      </w:r>
      <w:r>
        <w:rPr>
          <w:rFonts w:hint="eastAsia" w:ascii="宋体" w:hAnsi="宋体" w:cs="宋体"/>
          <w:sz w:val="24"/>
          <w:szCs w:val="24"/>
          <w:u w:val="single"/>
        </w:rPr>
        <w:t xml:space="preserve">       </w:t>
      </w:r>
      <w:r>
        <w:rPr>
          <w:rFonts w:hint="eastAsia" w:ascii="宋体" w:hAnsi="宋体" w:cs="宋体"/>
          <w:sz w:val="24"/>
          <w:szCs w:val="24"/>
        </w:rPr>
        <w:t>元/月/辆</w:t>
      </w:r>
    </w:p>
    <w:p>
      <w:pPr>
        <w:snapToGrid w:val="0"/>
        <w:ind w:firstLine="480" w:firstLineChars="200"/>
        <w:rPr>
          <w:rFonts w:hint="eastAsia" w:ascii="宋体" w:hAnsi="宋体" w:cs="宋体"/>
          <w:sz w:val="24"/>
          <w:szCs w:val="24"/>
        </w:rPr>
      </w:pPr>
      <w:r>
        <w:rPr>
          <w:rFonts w:hint="eastAsia" w:ascii="宋体" w:hAnsi="宋体" w:cs="宋体"/>
          <w:sz w:val="24"/>
          <w:szCs w:val="24"/>
        </w:rPr>
        <w:t>（5）三轮车</w:t>
      </w:r>
      <w:r>
        <w:rPr>
          <w:rFonts w:hint="eastAsia" w:ascii="宋体" w:hAnsi="宋体" w:cs="宋体"/>
          <w:sz w:val="24"/>
          <w:szCs w:val="24"/>
          <w:u w:val="single"/>
        </w:rPr>
        <w:t xml:space="preserve">       </w:t>
      </w:r>
      <w:r>
        <w:rPr>
          <w:rFonts w:hint="eastAsia" w:ascii="宋体" w:hAnsi="宋体" w:cs="宋体"/>
          <w:sz w:val="24"/>
          <w:szCs w:val="24"/>
        </w:rPr>
        <w:t>元/月/辆</w:t>
      </w:r>
    </w:p>
    <w:p>
      <w:pPr>
        <w:snapToGrid w:val="0"/>
        <w:ind w:firstLine="480" w:firstLineChars="200"/>
        <w:rPr>
          <w:rFonts w:hint="eastAsia" w:ascii="宋体" w:hAnsi="宋体" w:cs="宋体"/>
          <w:sz w:val="24"/>
          <w:szCs w:val="24"/>
        </w:rPr>
      </w:pPr>
      <w:r>
        <w:rPr>
          <w:rFonts w:hint="eastAsia" w:ascii="宋体" w:hAnsi="宋体" w:cs="宋体"/>
          <w:sz w:val="24"/>
          <w:szCs w:val="24"/>
        </w:rPr>
        <w:t>（6）自行车</w:t>
      </w:r>
      <w:r>
        <w:rPr>
          <w:rFonts w:hint="eastAsia" w:ascii="宋体" w:hAnsi="宋体" w:cs="宋体"/>
          <w:sz w:val="24"/>
          <w:szCs w:val="24"/>
          <w:u w:val="single"/>
        </w:rPr>
        <w:t xml:space="preserve">       </w:t>
      </w:r>
      <w:r>
        <w:rPr>
          <w:rFonts w:hint="eastAsia" w:ascii="宋体" w:hAnsi="宋体" w:cs="宋体"/>
          <w:sz w:val="24"/>
          <w:szCs w:val="24"/>
        </w:rPr>
        <w:t>元/月/辆</w:t>
      </w:r>
    </w:p>
    <w:p>
      <w:pPr>
        <w:snapToGrid w:val="0"/>
        <w:ind w:firstLine="480" w:firstLineChars="200"/>
        <w:rPr>
          <w:rFonts w:hint="eastAsia" w:ascii="宋体" w:hAnsi="宋体" w:cs="宋体"/>
          <w:sz w:val="24"/>
          <w:szCs w:val="24"/>
        </w:rPr>
      </w:pPr>
      <w:r>
        <w:rPr>
          <w:rFonts w:hint="eastAsia" w:ascii="宋体" w:hAnsi="宋体" w:cs="宋体"/>
          <w:sz w:val="24"/>
          <w:szCs w:val="24"/>
        </w:rPr>
        <w:t>（7）其他</w:t>
      </w:r>
      <w:r>
        <w:rPr>
          <w:rFonts w:hint="eastAsia" w:ascii="宋体" w:hAnsi="宋体" w:cs="宋体"/>
          <w:sz w:val="24"/>
          <w:szCs w:val="24"/>
          <w:u w:val="single"/>
        </w:rPr>
        <w:t xml:space="preserve">         </w:t>
      </w:r>
      <w:r>
        <w:rPr>
          <w:rFonts w:hint="eastAsia" w:ascii="宋体" w:hAnsi="宋体" w:cs="宋体"/>
          <w:sz w:val="24"/>
          <w:szCs w:val="24"/>
        </w:rPr>
        <w:t>。</w:t>
      </w:r>
    </w:p>
    <w:p>
      <w:pPr>
        <w:snapToGrid w:val="0"/>
        <w:ind w:firstLine="480" w:firstLineChars="200"/>
        <w:rPr>
          <w:rFonts w:hint="eastAsia" w:ascii="宋体" w:hAnsi="宋体" w:cs="宋体"/>
          <w:sz w:val="24"/>
          <w:szCs w:val="24"/>
        </w:rPr>
      </w:pPr>
      <w:r>
        <w:rPr>
          <w:rFonts w:hint="eastAsia" w:ascii="宋体" w:hAnsi="宋体" w:cs="宋体"/>
          <w:sz w:val="24"/>
          <w:szCs w:val="24"/>
        </w:rPr>
        <w:t>2．车库（含地面、地下车库）</w:t>
      </w:r>
    </w:p>
    <w:p>
      <w:pPr>
        <w:snapToGrid w:val="0"/>
        <w:ind w:firstLine="480" w:firstLineChars="200"/>
        <w:rPr>
          <w:rFonts w:hint="eastAsia" w:ascii="宋体" w:hAnsi="宋体" w:cs="宋体"/>
          <w:sz w:val="24"/>
          <w:szCs w:val="24"/>
        </w:rPr>
      </w:pPr>
      <w:r>
        <w:rPr>
          <w:rFonts w:hint="eastAsia" w:ascii="宋体" w:hAnsi="宋体" w:cs="宋体"/>
          <w:sz w:val="24"/>
          <w:szCs w:val="24"/>
        </w:rPr>
        <w:t>（1）中型机动车</w:t>
      </w:r>
      <w:r>
        <w:rPr>
          <w:rFonts w:hint="eastAsia" w:ascii="宋体" w:hAnsi="宋体" w:cs="宋体"/>
          <w:sz w:val="24"/>
          <w:szCs w:val="24"/>
          <w:u w:val="single"/>
        </w:rPr>
        <w:t xml:space="preserve">       </w:t>
      </w:r>
      <w:r>
        <w:rPr>
          <w:rFonts w:hint="eastAsia" w:ascii="宋体" w:hAnsi="宋体" w:cs="宋体"/>
          <w:sz w:val="24"/>
          <w:szCs w:val="24"/>
        </w:rPr>
        <w:t>元/月/辆</w:t>
      </w:r>
    </w:p>
    <w:p>
      <w:pPr>
        <w:snapToGrid w:val="0"/>
        <w:ind w:firstLine="480" w:firstLineChars="200"/>
        <w:rPr>
          <w:rFonts w:hint="eastAsia" w:ascii="宋体" w:hAnsi="宋体" w:cs="宋体"/>
          <w:sz w:val="24"/>
          <w:szCs w:val="24"/>
        </w:rPr>
      </w:pPr>
      <w:r>
        <w:rPr>
          <w:rFonts w:hint="eastAsia" w:ascii="宋体" w:hAnsi="宋体" w:cs="宋体"/>
          <w:sz w:val="24"/>
          <w:szCs w:val="24"/>
        </w:rPr>
        <w:t>（2）小型机动车</w:t>
      </w:r>
      <w:r>
        <w:rPr>
          <w:rFonts w:hint="eastAsia" w:ascii="宋体" w:hAnsi="宋体" w:cs="宋体"/>
          <w:sz w:val="24"/>
          <w:szCs w:val="24"/>
          <w:u w:val="single"/>
        </w:rPr>
        <w:t xml:space="preserve">        </w:t>
      </w:r>
      <w:r>
        <w:rPr>
          <w:rFonts w:hint="eastAsia" w:ascii="宋体" w:hAnsi="宋体" w:cs="宋体"/>
          <w:sz w:val="24"/>
          <w:szCs w:val="24"/>
        </w:rPr>
        <w:t>元/月/辆</w:t>
      </w:r>
    </w:p>
    <w:p>
      <w:pPr>
        <w:snapToGrid w:val="0"/>
        <w:ind w:firstLine="480" w:firstLineChars="200"/>
        <w:rPr>
          <w:rFonts w:hint="eastAsia" w:ascii="宋体" w:hAnsi="宋体" w:cs="宋体"/>
          <w:sz w:val="24"/>
          <w:szCs w:val="24"/>
        </w:rPr>
      </w:pPr>
      <w:r>
        <w:rPr>
          <w:rFonts w:hint="eastAsia" w:ascii="宋体" w:hAnsi="宋体" w:cs="宋体"/>
          <w:sz w:val="24"/>
          <w:szCs w:val="24"/>
        </w:rPr>
        <w:t>（3）摩托车（含燃油车）</w:t>
      </w:r>
      <w:r>
        <w:rPr>
          <w:rFonts w:hint="eastAsia" w:ascii="宋体" w:hAnsi="宋体" w:cs="宋体"/>
          <w:sz w:val="24"/>
          <w:szCs w:val="24"/>
          <w:u w:val="single"/>
        </w:rPr>
        <w:t xml:space="preserve">       </w:t>
      </w:r>
      <w:r>
        <w:rPr>
          <w:rFonts w:hint="eastAsia" w:ascii="宋体" w:hAnsi="宋体" w:cs="宋体"/>
          <w:sz w:val="24"/>
          <w:szCs w:val="24"/>
        </w:rPr>
        <w:t>元/月/辆</w:t>
      </w:r>
    </w:p>
    <w:p>
      <w:pPr>
        <w:snapToGrid w:val="0"/>
        <w:ind w:firstLine="480" w:firstLineChars="200"/>
        <w:rPr>
          <w:rFonts w:hint="eastAsia" w:ascii="宋体" w:hAnsi="宋体" w:cs="宋体"/>
          <w:sz w:val="24"/>
          <w:szCs w:val="24"/>
        </w:rPr>
      </w:pPr>
      <w:r>
        <w:rPr>
          <w:rFonts w:hint="eastAsia" w:ascii="宋体" w:hAnsi="宋体" w:cs="宋体"/>
          <w:sz w:val="24"/>
          <w:szCs w:val="24"/>
        </w:rPr>
        <w:t>（4）电动车</w:t>
      </w:r>
      <w:r>
        <w:rPr>
          <w:rFonts w:hint="eastAsia" w:ascii="宋体" w:hAnsi="宋体" w:cs="宋体"/>
          <w:sz w:val="24"/>
          <w:szCs w:val="24"/>
          <w:u w:val="single"/>
        </w:rPr>
        <w:t xml:space="preserve">           </w:t>
      </w:r>
      <w:r>
        <w:rPr>
          <w:rFonts w:hint="eastAsia" w:ascii="宋体" w:hAnsi="宋体" w:cs="宋体"/>
          <w:sz w:val="24"/>
          <w:szCs w:val="24"/>
        </w:rPr>
        <w:t>元/月/辆</w:t>
      </w:r>
    </w:p>
    <w:p>
      <w:pPr>
        <w:tabs>
          <w:tab w:val="left" w:pos="3933"/>
        </w:tabs>
        <w:snapToGrid w:val="0"/>
        <w:ind w:firstLine="480" w:firstLineChars="200"/>
        <w:rPr>
          <w:rFonts w:hint="eastAsia" w:ascii="宋体" w:hAnsi="宋体" w:cs="宋体"/>
          <w:sz w:val="24"/>
          <w:szCs w:val="24"/>
        </w:rPr>
      </w:pPr>
      <w:r>
        <w:rPr>
          <w:rFonts w:hint="eastAsia" w:ascii="宋体" w:hAnsi="宋体" w:cs="宋体"/>
          <w:sz w:val="24"/>
          <w:szCs w:val="24"/>
        </w:rPr>
        <w:t>（5）三轮车</w:t>
      </w:r>
      <w:r>
        <w:rPr>
          <w:rFonts w:hint="eastAsia" w:ascii="宋体" w:hAnsi="宋体" w:cs="宋体"/>
          <w:sz w:val="24"/>
          <w:szCs w:val="24"/>
          <w:u w:val="single"/>
        </w:rPr>
        <w:t xml:space="preserve">           </w:t>
      </w:r>
      <w:r>
        <w:rPr>
          <w:rFonts w:hint="eastAsia" w:ascii="宋体" w:hAnsi="宋体" w:cs="宋体"/>
          <w:sz w:val="24"/>
          <w:szCs w:val="24"/>
        </w:rPr>
        <w:t>元/月/辆</w:t>
      </w:r>
    </w:p>
    <w:p>
      <w:pPr>
        <w:snapToGrid w:val="0"/>
        <w:ind w:firstLine="480" w:firstLineChars="200"/>
        <w:rPr>
          <w:rFonts w:hint="eastAsia" w:ascii="宋体" w:hAnsi="宋体" w:cs="宋体"/>
          <w:sz w:val="24"/>
          <w:szCs w:val="24"/>
        </w:rPr>
      </w:pPr>
      <w:r>
        <w:rPr>
          <w:rFonts w:hint="eastAsia" w:ascii="宋体" w:hAnsi="宋体" w:cs="宋体"/>
          <w:sz w:val="24"/>
          <w:szCs w:val="24"/>
        </w:rPr>
        <w:t>（6）自行车</w:t>
      </w:r>
      <w:r>
        <w:rPr>
          <w:rFonts w:hint="eastAsia" w:ascii="宋体" w:hAnsi="宋体" w:cs="宋体"/>
          <w:sz w:val="24"/>
          <w:szCs w:val="24"/>
          <w:u w:val="single"/>
        </w:rPr>
        <w:t xml:space="preserve">           </w:t>
      </w:r>
      <w:r>
        <w:rPr>
          <w:rFonts w:hint="eastAsia" w:ascii="宋体" w:hAnsi="宋体" w:cs="宋体"/>
          <w:sz w:val="24"/>
          <w:szCs w:val="24"/>
        </w:rPr>
        <w:t>元/月/辆</w:t>
      </w:r>
    </w:p>
    <w:p>
      <w:pPr>
        <w:snapToGrid w:val="0"/>
        <w:ind w:firstLine="480" w:firstLineChars="200"/>
        <w:rPr>
          <w:rFonts w:hint="eastAsia" w:ascii="宋体" w:hAnsi="宋体" w:cs="宋体"/>
          <w:sz w:val="24"/>
          <w:szCs w:val="24"/>
        </w:rPr>
      </w:pPr>
      <w:r>
        <w:rPr>
          <w:rFonts w:hint="eastAsia" w:ascii="宋体" w:hAnsi="宋体" w:cs="宋体"/>
          <w:sz w:val="24"/>
          <w:szCs w:val="24"/>
        </w:rPr>
        <w:t>（7）其他</w:t>
      </w:r>
      <w:r>
        <w:rPr>
          <w:rFonts w:hint="eastAsia" w:ascii="宋体" w:hAnsi="宋体" w:cs="宋体"/>
          <w:sz w:val="24"/>
          <w:szCs w:val="24"/>
          <w:u w:val="single"/>
        </w:rPr>
        <w:t xml:space="preserve">             </w:t>
      </w:r>
      <w:r>
        <w:rPr>
          <w:rFonts w:hint="eastAsia" w:ascii="宋体" w:hAnsi="宋体" w:cs="宋体"/>
          <w:sz w:val="24"/>
          <w:szCs w:val="24"/>
        </w:rPr>
        <w:t>。</w:t>
      </w:r>
    </w:p>
    <w:p>
      <w:pPr>
        <w:snapToGrid w:val="0"/>
        <w:ind w:firstLine="480" w:firstLineChars="200"/>
        <w:rPr>
          <w:rFonts w:hint="eastAsia" w:ascii="宋体" w:hAnsi="宋体" w:cs="宋体"/>
          <w:sz w:val="24"/>
          <w:szCs w:val="24"/>
        </w:rPr>
      </w:pPr>
      <w:r>
        <w:rPr>
          <w:rFonts w:hint="eastAsia" w:ascii="宋体" w:hAnsi="宋体" w:cs="宋体"/>
          <w:sz w:val="24"/>
          <w:szCs w:val="24"/>
        </w:rPr>
        <w:t>3．其他</w:t>
      </w:r>
      <w:r>
        <w:rPr>
          <w:rFonts w:hint="eastAsia" w:ascii="宋体" w:hAnsi="宋体" w:cs="宋体"/>
          <w:sz w:val="24"/>
          <w:szCs w:val="24"/>
          <w:u w:val="single"/>
        </w:rPr>
        <w:t xml:space="preserve">                                        </w:t>
      </w:r>
      <w:r>
        <w:rPr>
          <w:rFonts w:hint="eastAsia" w:ascii="宋体" w:hAnsi="宋体" w:cs="宋体"/>
          <w:sz w:val="24"/>
          <w:szCs w:val="24"/>
        </w:rPr>
        <w:t>。</w:t>
      </w:r>
    </w:p>
    <w:p>
      <w:pPr>
        <w:snapToGrid w:val="0"/>
        <w:ind w:firstLine="480" w:firstLineChars="200"/>
        <w:rPr>
          <w:rFonts w:hint="eastAsia" w:ascii="宋体" w:hAnsi="宋体" w:cs="宋体"/>
          <w:sz w:val="24"/>
          <w:szCs w:val="24"/>
        </w:rPr>
      </w:pPr>
      <w:r>
        <w:rPr>
          <w:rFonts w:hint="eastAsia" w:ascii="宋体" w:hAnsi="宋体" w:cs="宋体"/>
          <w:sz w:val="24"/>
          <w:szCs w:val="24"/>
        </w:rPr>
        <w:t>4. 乙方收取车辆停放服务费，应建立健全车辆停放服务的内部管理制度，做好车辆进出管理以及停车场所的保洁、照明、巡视和日常维护等服务工作。</w:t>
      </w:r>
    </w:p>
    <w:p>
      <w:pPr>
        <w:snapToGrid w:val="0"/>
        <w:ind w:firstLine="480" w:firstLineChars="200"/>
        <w:rPr>
          <w:rFonts w:hint="eastAsia" w:ascii="宋体" w:hAnsi="宋体" w:cs="宋体"/>
          <w:sz w:val="24"/>
          <w:szCs w:val="24"/>
        </w:rPr>
      </w:pPr>
      <w:r>
        <w:rPr>
          <w:rFonts w:hint="eastAsia" w:ascii="宋体" w:hAnsi="宋体" w:cs="宋体"/>
          <w:sz w:val="24"/>
          <w:szCs w:val="24"/>
        </w:rPr>
        <w:t>第十八条  乙方受甲方、业主（物业使用人）委托对其房屋自用部位、自用设备的维修、养护及其它特约服务的事项与费用，由当事人与乙方自行约定。</w:t>
      </w:r>
    </w:p>
    <w:p>
      <w:pPr>
        <w:snapToGrid w:val="0"/>
        <w:ind w:firstLine="480" w:firstLineChars="200"/>
        <w:jc w:val="center"/>
        <w:rPr>
          <w:rFonts w:hint="eastAsia" w:ascii="宋体" w:hAnsi="宋体" w:cs="宋体"/>
          <w:sz w:val="24"/>
          <w:szCs w:val="24"/>
        </w:rPr>
      </w:pPr>
    </w:p>
    <w:p>
      <w:pPr>
        <w:snapToGrid w:val="0"/>
        <w:ind w:firstLine="480" w:firstLineChars="200"/>
        <w:jc w:val="center"/>
        <w:rPr>
          <w:rFonts w:hint="eastAsia" w:ascii="宋体" w:hAnsi="宋体" w:cs="宋体"/>
          <w:sz w:val="24"/>
          <w:szCs w:val="24"/>
        </w:rPr>
      </w:pPr>
      <w:r>
        <w:rPr>
          <w:rFonts w:hint="eastAsia" w:ascii="宋体" w:hAnsi="宋体" w:cs="宋体"/>
          <w:sz w:val="24"/>
          <w:szCs w:val="24"/>
        </w:rPr>
        <w:t>第五章 物业承接查验</w:t>
      </w:r>
    </w:p>
    <w:p>
      <w:pPr>
        <w:snapToGrid w:val="0"/>
        <w:ind w:firstLine="470" w:firstLineChars="196"/>
        <w:rPr>
          <w:rFonts w:hint="eastAsia" w:ascii="宋体" w:hAnsi="宋体" w:cs="宋体"/>
          <w:sz w:val="24"/>
          <w:szCs w:val="24"/>
        </w:rPr>
      </w:pPr>
      <w:r>
        <w:rPr>
          <w:rFonts w:hint="eastAsia" w:ascii="宋体" w:hAnsi="宋体" w:cs="宋体"/>
          <w:sz w:val="24"/>
          <w:szCs w:val="24"/>
        </w:rPr>
        <w:t>第十九条 物业承接查验内容和标准</w:t>
      </w:r>
    </w:p>
    <w:p>
      <w:pPr>
        <w:snapToGrid w:val="0"/>
        <w:ind w:firstLine="480" w:firstLineChars="200"/>
        <w:rPr>
          <w:rFonts w:hint="eastAsia" w:ascii="宋体" w:hAnsi="宋体" w:cs="宋体"/>
          <w:sz w:val="24"/>
          <w:szCs w:val="24"/>
        </w:rPr>
      </w:pPr>
      <w:r>
        <w:rPr>
          <w:rFonts w:hint="eastAsia" w:ascii="宋体" w:hAnsi="宋体" w:cs="宋体"/>
          <w:sz w:val="24"/>
          <w:szCs w:val="24"/>
        </w:rPr>
        <w:t>1．甲、乙双方按住房和城乡建设部《物业承接查验办法》规定进行物业承接查验；</w:t>
      </w:r>
    </w:p>
    <w:p>
      <w:pPr>
        <w:snapToGrid w:val="0"/>
        <w:ind w:firstLine="480" w:firstLineChars="200"/>
        <w:rPr>
          <w:rFonts w:hint="eastAsia" w:ascii="宋体" w:hAnsi="宋体" w:cs="宋体"/>
          <w:sz w:val="24"/>
          <w:szCs w:val="24"/>
        </w:rPr>
      </w:pPr>
      <w:r>
        <w:rPr>
          <w:rFonts w:hint="eastAsia" w:ascii="宋体" w:hAnsi="宋体" w:cs="宋体"/>
          <w:sz w:val="24"/>
          <w:szCs w:val="24"/>
        </w:rPr>
        <w:t>2. 甲方应当在物业交付使用15日前，与乙方完成物业共用部位、共用设施设备的承接查验工作。现场检查和验收时甲、乙双方共同参与，共同确认查验结果，并签订物业承接查验协议。建设单位和物业服务企业应当将物业承接查验备案情况书面告知业主。</w:t>
      </w:r>
    </w:p>
    <w:p>
      <w:pPr>
        <w:snapToGrid w:val="0"/>
        <w:ind w:firstLine="480" w:firstLineChars="200"/>
        <w:rPr>
          <w:rFonts w:hint="eastAsia" w:ascii="宋体" w:hAnsi="宋体" w:cs="宋体"/>
          <w:sz w:val="24"/>
          <w:szCs w:val="24"/>
        </w:rPr>
      </w:pPr>
      <w:r>
        <w:rPr>
          <w:rFonts w:hint="eastAsia" w:ascii="宋体" w:hAnsi="宋体" w:cs="宋体"/>
          <w:sz w:val="24"/>
          <w:szCs w:val="24"/>
        </w:rPr>
        <w:t>3．物业承接查验费用由甲方承担。</w:t>
      </w:r>
    </w:p>
    <w:p>
      <w:pPr>
        <w:snapToGrid w:val="0"/>
        <w:ind w:firstLine="480" w:firstLineChars="200"/>
        <w:rPr>
          <w:rFonts w:hint="eastAsia" w:ascii="宋体" w:hAnsi="宋体" w:cs="宋体"/>
          <w:sz w:val="24"/>
          <w:szCs w:val="24"/>
        </w:rPr>
      </w:pPr>
      <w:r>
        <w:rPr>
          <w:rFonts w:hint="eastAsia" w:ascii="宋体" w:hAnsi="宋体" w:cs="宋体"/>
          <w:sz w:val="24"/>
          <w:szCs w:val="24"/>
        </w:rPr>
        <w:t>4．现场查验20日前，甲方应向乙方移交下列资料：</w:t>
      </w:r>
    </w:p>
    <w:p>
      <w:pPr>
        <w:snapToGrid w:val="0"/>
        <w:ind w:firstLine="480" w:firstLineChars="200"/>
        <w:rPr>
          <w:rFonts w:hint="eastAsia" w:ascii="宋体" w:hAnsi="宋体" w:cs="宋体"/>
          <w:sz w:val="24"/>
          <w:szCs w:val="24"/>
        </w:rPr>
      </w:pPr>
      <w:r>
        <w:rPr>
          <w:rFonts w:hint="eastAsia" w:ascii="宋体" w:hAnsi="宋体" w:cs="宋体"/>
          <w:sz w:val="24"/>
          <w:szCs w:val="24"/>
        </w:rPr>
        <w:t>（1）竣工总平面图，单体建筑、结构、设备竣工图，附属配套设施、地下管网工程竣工图等竣工验收资料；</w:t>
      </w:r>
    </w:p>
    <w:p>
      <w:pPr>
        <w:snapToGrid w:val="0"/>
        <w:ind w:firstLine="480" w:firstLineChars="200"/>
        <w:rPr>
          <w:rFonts w:hint="eastAsia" w:ascii="宋体" w:hAnsi="宋体" w:cs="宋体"/>
          <w:sz w:val="24"/>
          <w:szCs w:val="24"/>
        </w:rPr>
      </w:pPr>
      <w:r>
        <w:rPr>
          <w:rFonts w:hint="eastAsia" w:ascii="宋体" w:hAnsi="宋体" w:cs="宋体"/>
          <w:sz w:val="24"/>
          <w:szCs w:val="24"/>
        </w:rPr>
        <w:t>（2）共用设施设备清单及安装、使用和维护保养等技术资料；</w:t>
      </w:r>
    </w:p>
    <w:p>
      <w:pPr>
        <w:snapToGrid w:val="0"/>
        <w:ind w:firstLine="480" w:firstLineChars="200"/>
        <w:rPr>
          <w:rFonts w:hint="eastAsia" w:ascii="宋体" w:hAnsi="宋体" w:cs="宋体"/>
          <w:sz w:val="24"/>
          <w:szCs w:val="24"/>
        </w:rPr>
      </w:pPr>
      <w:r>
        <w:rPr>
          <w:rFonts w:hint="eastAsia" w:ascii="宋体" w:hAnsi="宋体" w:cs="宋体"/>
          <w:sz w:val="24"/>
          <w:szCs w:val="24"/>
        </w:rPr>
        <w:t>（3）物业质量保修文件和物业使用说明文件；</w:t>
      </w:r>
    </w:p>
    <w:p>
      <w:pPr>
        <w:snapToGrid w:val="0"/>
        <w:ind w:firstLine="480" w:firstLineChars="200"/>
        <w:rPr>
          <w:rFonts w:hint="eastAsia" w:ascii="宋体" w:hAnsi="宋体" w:cs="宋体"/>
          <w:sz w:val="24"/>
          <w:szCs w:val="24"/>
        </w:rPr>
      </w:pPr>
      <w:r>
        <w:rPr>
          <w:rFonts w:hint="eastAsia" w:ascii="宋体" w:hAnsi="宋体" w:cs="宋体"/>
          <w:sz w:val="24"/>
          <w:szCs w:val="24"/>
        </w:rPr>
        <w:t>（4）供水、供电、供气、供热、通讯、有线电视等准许使用文件；</w:t>
      </w:r>
    </w:p>
    <w:p>
      <w:pPr>
        <w:snapToGrid w:val="0"/>
        <w:ind w:firstLine="480" w:firstLineChars="200"/>
        <w:rPr>
          <w:rFonts w:hint="eastAsia" w:ascii="宋体" w:hAnsi="宋体" w:cs="宋体"/>
          <w:sz w:val="24"/>
          <w:szCs w:val="24"/>
        </w:rPr>
      </w:pPr>
      <w:r>
        <w:rPr>
          <w:rFonts w:hint="eastAsia" w:ascii="宋体" w:hAnsi="宋体" w:cs="宋体"/>
          <w:sz w:val="24"/>
          <w:szCs w:val="24"/>
        </w:rPr>
        <w:t>（5）承接查验所必需的其他资料。</w:t>
      </w:r>
    </w:p>
    <w:p>
      <w:pPr>
        <w:snapToGrid w:val="0"/>
        <w:ind w:firstLine="480" w:firstLineChars="200"/>
        <w:rPr>
          <w:rFonts w:hint="eastAsia" w:ascii="宋体" w:hAnsi="宋体" w:cs="宋体"/>
          <w:sz w:val="24"/>
          <w:szCs w:val="24"/>
        </w:rPr>
      </w:pPr>
      <w:r>
        <w:rPr>
          <w:rFonts w:hint="eastAsia" w:ascii="宋体" w:hAnsi="宋体" w:cs="宋体"/>
          <w:sz w:val="24"/>
          <w:szCs w:val="24"/>
        </w:rPr>
        <w:t>未能全部移交前款所列资料的，甲方应当列出未移交资料的详细清单并书面承诺补交的具体时限。</w:t>
      </w:r>
    </w:p>
    <w:p>
      <w:pPr>
        <w:snapToGrid w:val="0"/>
        <w:ind w:firstLine="480" w:firstLineChars="200"/>
        <w:rPr>
          <w:rFonts w:hint="eastAsia" w:ascii="宋体" w:hAnsi="宋体" w:cs="宋体"/>
          <w:sz w:val="24"/>
          <w:szCs w:val="24"/>
        </w:rPr>
      </w:pPr>
      <w:r>
        <w:rPr>
          <w:rFonts w:hint="eastAsia" w:ascii="宋体" w:hAnsi="宋体" w:cs="宋体"/>
          <w:sz w:val="24"/>
          <w:szCs w:val="24"/>
        </w:rPr>
        <w:t>5．查验中发现的问题、相应解决办法及时限，甲、乙双方应以书面方式予以确认。</w:t>
      </w:r>
    </w:p>
    <w:p>
      <w:pPr>
        <w:snapToGrid w:val="0"/>
        <w:ind w:firstLine="480" w:firstLineChars="200"/>
        <w:rPr>
          <w:rFonts w:hint="eastAsia" w:ascii="宋体" w:hAnsi="宋体" w:cs="宋体"/>
          <w:sz w:val="24"/>
          <w:szCs w:val="24"/>
        </w:rPr>
      </w:pPr>
      <w:r>
        <w:rPr>
          <w:rFonts w:hint="eastAsia" w:ascii="宋体" w:hAnsi="宋体" w:cs="宋体"/>
          <w:sz w:val="24"/>
          <w:szCs w:val="24"/>
        </w:rPr>
        <w:t>第二十条  甲方按照国家规定的保修期限和保修范围，承担物业的保修责任。乙方有权就房屋本体、共用部位及共用设施设备等质量问题要求甲方承担相关责任。</w:t>
      </w:r>
    </w:p>
    <w:p>
      <w:pPr>
        <w:snapToGrid w:val="0"/>
        <w:ind w:firstLine="464" w:firstLineChars="200"/>
        <w:rPr>
          <w:rFonts w:hint="eastAsia" w:ascii="宋体" w:hAnsi="宋体" w:cs="宋体"/>
          <w:spacing w:val="-4"/>
          <w:sz w:val="24"/>
          <w:szCs w:val="24"/>
        </w:rPr>
      </w:pPr>
      <w:r>
        <w:rPr>
          <w:rFonts w:hint="eastAsia" w:ascii="宋体" w:hAnsi="宋体" w:cs="宋体"/>
          <w:spacing w:val="-4"/>
          <w:sz w:val="24"/>
          <w:szCs w:val="24"/>
        </w:rPr>
        <w:t>在保修责任期限内，如存在质量问题，按以下第</w:t>
      </w:r>
      <w:r>
        <w:rPr>
          <w:rFonts w:hint="eastAsia" w:ascii="宋体" w:hAnsi="宋体" w:cs="宋体"/>
          <w:spacing w:val="-4"/>
          <w:sz w:val="24"/>
          <w:szCs w:val="24"/>
          <w:u w:val="single"/>
        </w:rPr>
        <w:t xml:space="preserve">     </w:t>
      </w:r>
      <w:r>
        <w:rPr>
          <w:rFonts w:hint="eastAsia" w:ascii="宋体" w:hAnsi="宋体" w:cs="宋体"/>
          <w:spacing w:val="-4"/>
          <w:sz w:val="24"/>
          <w:szCs w:val="24"/>
        </w:rPr>
        <w:t>种方式处理：</w:t>
      </w:r>
    </w:p>
    <w:p>
      <w:pPr>
        <w:snapToGrid w:val="0"/>
        <w:ind w:firstLine="480" w:firstLineChars="200"/>
        <w:rPr>
          <w:rFonts w:hint="eastAsia" w:ascii="宋体" w:hAnsi="宋体" w:cs="宋体"/>
          <w:sz w:val="24"/>
          <w:szCs w:val="24"/>
        </w:rPr>
      </w:pPr>
      <w:r>
        <w:rPr>
          <w:rFonts w:hint="eastAsia" w:ascii="宋体" w:hAnsi="宋体" w:cs="宋体"/>
          <w:sz w:val="24"/>
          <w:szCs w:val="24"/>
        </w:rPr>
        <w:t>（1）甲方负责返修；</w:t>
      </w:r>
    </w:p>
    <w:p>
      <w:pPr>
        <w:snapToGrid w:val="0"/>
        <w:ind w:firstLine="480" w:firstLineChars="200"/>
        <w:rPr>
          <w:rFonts w:hint="eastAsia" w:ascii="宋体" w:hAnsi="宋体" w:cs="宋体"/>
          <w:sz w:val="24"/>
          <w:szCs w:val="24"/>
        </w:rPr>
      </w:pPr>
      <w:r>
        <w:rPr>
          <w:rFonts w:hint="eastAsia" w:ascii="宋体" w:hAnsi="宋体" w:cs="宋体"/>
          <w:sz w:val="24"/>
          <w:szCs w:val="24"/>
        </w:rPr>
        <w:t>（2）委托乙方返修，甲方支付全部费用；</w:t>
      </w:r>
    </w:p>
    <w:p>
      <w:pPr>
        <w:snapToGrid w:val="0"/>
        <w:ind w:firstLine="480" w:firstLineChars="200"/>
        <w:rPr>
          <w:rFonts w:hint="eastAsia" w:ascii="宋体" w:hAnsi="宋体" w:cs="宋体"/>
          <w:sz w:val="24"/>
          <w:szCs w:val="24"/>
        </w:rPr>
      </w:pPr>
      <w:r>
        <w:rPr>
          <w:rFonts w:hint="eastAsia" w:ascii="宋体" w:hAnsi="宋体" w:cs="宋体"/>
          <w:sz w:val="24"/>
          <w:szCs w:val="24"/>
        </w:rPr>
        <w:t>（3）</w:t>
      </w:r>
      <w:r>
        <w:rPr>
          <w:rFonts w:hint="eastAsia" w:ascii="宋体" w:hAnsi="宋体" w:cs="宋体"/>
          <w:sz w:val="24"/>
          <w:szCs w:val="24"/>
          <w:u w:val="single"/>
        </w:rPr>
        <w:t xml:space="preserve">                       </w:t>
      </w:r>
      <w:r>
        <w:rPr>
          <w:rFonts w:hint="eastAsia" w:ascii="宋体" w:hAnsi="宋体" w:cs="宋体"/>
          <w:sz w:val="24"/>
          <w:szCs w:val="24"/>
        </w:rPr>
        <w:t>。</w:t>
      </w:r>
    </w:p>
    <w:p>
      <w:pPr>
        <w:snapToGrid w:val="0"/>
        <w:ind w:firstLine="464" w:firstLineChars="200"/>
        <w:rPr>
          <w:rFonts w:hint="eastAsia" w:ascii="宋体" w:hAnsi="宋体" w:cs="宋体"/>
          <w:spacing w:val="-4"/>
          <w:sz w:val="24"/>
          <w:szCs w:val="24"/>
        </w:rPr>
      </w:pPr>
      <w:r>
        <w:rPr>
          <w:rFonts w:hint="eastAsia" w:ascii="宋体" w:hAnsi="宋体" w:cs="宋体"/>
          <w:spacing w:val="-4"/>
          <w:sz w:val="24"/>
          <w:szCs w:val="24"/>
        </w:rPr>
        <w:t>业主房屋专有部分房屋质量问题，业主根据相关法律法规及购房合同向甲方要求承担相应责任，乙方应积极协调甲方及时履行维修责任。</w:t>
      </w:r>
    </w:p>
    <w:p>
      <w:pPr>
        <w:snapToGrid w:val="0"/>
        <w:jc w:val="center"/>
        <w:rPr>
          <w:rFonts w:hint="eastAsia" w:ascii="宋体" w:hAnsi="宋体" w:cs="宋体"/>
          <w:sz w:val="24"/>
          <w:szCs w:val="24"/>
        </w:rPr>
      </w:pPr>
      <w:r>
        <w:rPr>
          <w:rFonts w:hint="eastAsia" w:ascii="宋体" w:hAnsi="宋体" w:cs="宋体"/>
          <w:sz w:val="24"/>
          <w:szCs w:val="24"/>
        </w:rPr>
        <w:t>第六章 双方权利义务</w:t>
      </w:r>
    </w:p>
    <w:p>
      <w:pPr>
        <w:snapToGrid w:val="0"/>
        <w:ind w:firstLine="480" w:firstLineChars="200"/>
        <w:rPr>
          <w:rFonts w:hint="eastAsia" w:ascii="宋体" w:hAnsi="宋体" w:cs="宋体"/>
          <w:sz w:val="24"/>
          <w:szCs w:val="24"/>
        </w:rPr>
      </w:pPr>
      <w:r>
        <w:rPr>
          <w:rFonts w:hint="eastAsia" w:ascii="宋体" w:hAnsi="宋体" w:cs="宋体"/>
          <w:sz w:val="24"/>
          <w:szCs w:val="24"/>
        </w:rPr>
        <w:t>第二十一条  甲方权利义务</w:t>
      </w:r>
    </w:p>
    <w:p>
      <w:pPr>
        <w:snapToGrid w:val="0"/>
        <w:ind w:firstLine="480" w:firstLineChars="200"/>
        <w:rPr>
          <w:rFonts w:hint="eastAsia" w:ascii="宋体" w:hAnsi="宋体" w:cs="宋体"/>
          <w:sz w:val="24"/>
          <w:szCs w:val="24"/>
        </w:rPr>
      </w:pPr>
      <w:r>
        <w:rPr>
          <w:rFonts w:hint="eastAsia" w:ascii="宋体" w:hAnsi="宋体" w:cs="宋体"/>
          <w:sz w:val="24"/>
          <w:szCs w:val="24"/>
        </w:rPr>
        <w:t>1．应当按照国家有关规定和物业买卖合同的约定，移交权属明确、资料完整、质量合格、功能完备、配套齐全的物业；</w:t>
      </w:r>
    </w:p>
    <w:p>
      <w:pPr>
        <w:snapToGrid w:val="0"/>
        <w:ind w:firstLine="480" w:firstLineChars="200"/>
        <w:rPr>
          <w:rFonts w:hint="eastAsia" w:ascii="宋体" w:hAnsi="宋体" w:cs="宋体"/>
          <w:sz w:val="24"/>
          <w:szCs w:val="24"/>
        </w:rPr>
      </w:pPr>
      <w:r>
        <w:rPr>
          <w:rFonts w:hint="eastAsia" w:ascii="宋体" w:hAnsi="宋体" w:cs="宋体"/>
          <w:sz w:val="24"/>
          <w:szCs w:val="24"/>
        </w:rPr>
        <w:t>2.负责在物业销（预）售时将本合同的内容向购房人进行明示，并在与购房人签订的销售合同中包含本合同内容；</w:t>
      </w:r>
    </w:p>
    <w:p>
      <w:pPr>
        <w:snapToGrid w:val="0"/>
        <w:ind w:firstLine="480" w:firstLineChars="200"/>
        <w:rPr>
          <w:rFonts w:hint="eastAsia" w:ascii="宋体" w:hAnsi="宋体" w:cs="宋体"/>
          <w:sz w:val="24"/>
          <w:szCs w:val="24"/>
        </w:rPr>
      </w:pPr>
      <w:r>
        <w:rPr>
          <w:rFonts w:hint="eastAsia" w:ascii="宋体" w:hAnsi="宋体" w:cs="宋体"/>
          <w:sz w:val="24"/>
          <w:szCs w:val="24"/>
        </w:rPr>
        <w:t>3．制定《临时管理规约》，在物业销售前将《临时管理规约》向物业买受人明示，并予以说明，要求物业买受人对《临时管理规约》予以书面承诺；</w:t>
      </w:r>
    </w:p>
    <w:p>
      <w:pPr>
        <w:snapToGrid w:val="0"/>
        <w:ind w:firstLine="480" w:firstLineChars="200"/>
        <w:rPr>
          <w:rFonts w:hint="eastAsia" w:ascii="宋体" w:hAnsi="宋体" w:cs="宋体"/>
          <w:sz w:val="24"/>
          <w:szCs w:val="24"/>
        </w:rPr>
      </w:pPr>
      <w:r>
        <w:rPr>
          <w:rFonts w:hint="eastAsia" w:ascii="宋体" w:hAnsi="宋体" w:cs="宋体"/>
          <w:sz w:val="24"/>
          <w:szCs w:val="24"/>
        </w:rPr>
        <w:t>4．在首次业主大会成立并选举产生业主委员会前，代表全体业主审定乙方制定的物业管理服务方案及物业服务年度、季度工作计划。监督、检查乙方物业服务工作开展情况；</w:t>
      </w:r>
    </w:p>
    <w:p>
      <w:pPr>
        <w:snapToGrid w:val="0"/>
        <w:ind w:firstLine="480" w:firstLineChars="200"/>
        <w:rPr>
          <w:rFonts w:hint="eastAsia" w:ascii="宋体" w:hAnsi="宋体" w:cs="宋体"/>
          <w:sz w:val="24"/>
          <w:szCs w:val="24"/>
        </w:rPr>
      </w:pPr>
      <w:r>
        <w:rPr>
          <w:rFonts w:hint="eastAsia" w:ascii="宋体" w:hAnsi="宋体" w:cs="宋体"/>
          <w:sz w:val="24"/>
          <w:szCs w:val="24"/>
        </w:rPr>
        <w:t>5．甲方不得为了有利于物业销售而向物业买受人做出减免物业服务费用等相关承诺；</w:t>
      </w:r>
    </w:p>
    <w:p>
      <w:pPr>
        <w:snapToGrid w:val="0"/>
        <w:ind w:firstLine="480" w:firstLineChars="200"/>
        <w:rPr>
          <w:rFonts w:hint="eastAsia" w:ascii="宋体" w:hAnsi="宋体" w:cs="宋体"/>
          <w:sz w:val="24"/>
          <w:szCs w:val="24"/>
        </w:rPr>
      </w:pPr>
      <w:r>
        <w:rPr>
          <w:rFonts w:hint="eastAsia" w:ascii="宋体" w:hAnsi="宋体" w:cs="宋体"/>
          <w:sz w:val="24"/>
          <w:szCs w:val="24"/>
        </w:rPr>
        <w:t>6．支持配合乙方做好物业服务工作和宣传教育、文化活动，不得干涉乙方依法、依本合同约定内容所进行的物业服务活动；</w:t>
      </w:r>
    </w:p>
    <w:p>
      <w:pPr>
        <w:snapToGrid w:val="0"/>
        <w:ind w:firstLine="480" w:firstLineChars="200"/>
        <w:rPr>
          <w:rFonts w:hint="eastAsia" w:ascii="宋体" w:hAnsi="宋体" w:cs="宋体"/>
          <w:sz w:val="24"/>
          <w:szCs w:val="24"/>
        </w:rPr>
      </w:pPr>
      <w:r>
        <w:rPr>
          <w:rFonts w:hint="eastAsia" w:ascii="宋体" w:hAnsi="宋体" w:cs="宋体"/>
          <w:sz w:val="24"/>
          <w:szCs w:val="24"/>
        </w:rPr>
        <w:t>7．按时足额向乙方支付本合同约定的应由甲方承担的各项费用；</w:t>
      </w:r>
    </w:p>
    <w:p>
      <w:pPr>
        <w:snapToGrid w:val="0"/>
        <w:ind w:firstLine="480" w:firstLineChars="200"/>
        <w:rPr>
          <w:rFonts w:hint="eastAsia" w:ascii="宋体" w:hAnsi="宋体" w:cs="宋体"/>
          <w:sz w:val="24"/>
          <w:szCs w:val="24"/>
        </w:rPr>
      </w:pPr>
      <w:r>
        <w:rPr>
          <w:rFonts w:hint="eastAsia" w:ascii="宋体" w:hAnsi="宋体" w:cs="宋体"/>
          <w:sz w:val="24"/>
          <w:szCs w:val="24"/>
        </w:rPr>
        <w:t>8．向乙方移交符合规定面积和标准，可直接投入使用，并与物业管理主管部门备案在册一致的物业服务用房；</w:t>
      </w:r>
    </w:p>
    <w:p>
      <w:pPr>
        <w:snapToGrid w:val="0"/>
        <w:ind w:firstLine="480" w:firstLineChars="200"/>
        <w:rPr>
          <w:rFonts w:hint="eastAsia" w:ascii="宋体" w:hAnsi="宋体" w:cs="宋体"/>
          <w:sz w:val="24"/>
          <w:szCs w:val="24"/>
        </w:rPr>
      </w:pPr>
      <w:r>
        <w:rPr>
          <w:rFonts w:hint="eastAsia" w:ascii="宋体" w:hAnsi="宋体" w:cs="宋体"/>
          <w:sz w:val="24"/>
          <w:szCs w:val="24"/>
        </w:rPr>
        <w:t>9. 按照法定的保修期限、范围，承担物业的保修责任，负责处理开发建设遗留问题引发的纠纷；</w:t>
      </w:r>
    </w:p>
    <w:p>
      <w:pPr>
        <w:snapToGrid w:val="0"/>
        <w:ind w:firstLine="480" w:firstLineChars="200"/>
        <w:rPr>
          <w:rFonts w:hint="eastAsia" w:ascii="宋体" w:hAnsi="宋体" w:cs="宋体"/>
          <w:sz w:val="24"/>
          <w:szCs w:val="24"/>
        </w:rPr>
      </w:pPr>
    </w:p>
    <w:p>
      <w:pPr>
        <w:snapToGrid w:val="0"/>
        <w:ind w:firstLine="480" w:firstLineChars="200"/>
        <w:rPr>
          <w:rFonts w:hint="eastAsia" w:ascii="宋体" w:hAnsi="宋体" w:cs="宋体"/>
          <w:sz w:val="24"/>
          <w:szCs w:val="24"/>
        </w:rPr>
      </w:pPr>
      <w:r>
        <w:rPr>
          <w:rFonts w:hint="eastAsia" w:ascii="宋体" w:hAnsi="宋体" w:cs="宋体"/>
          <w:sz w:val="24"/>
          <w:szCs w:val="24"/>
        </w:rPr>
        <w:t>10. 按规定向物业所在地街道办事处（乡镇人民政府）提出成立业主大会的书面报告，并提供业主产权清册、物业建筑面积、物业出售并交付使用时间等文件资料；</w:t>
      </w:r>
    </w:p>
    <w:p>
      <w:pPr>
        <w:snapToGrid w:val="0"/>
        <w:ind w:firstLine="480" w:firstLineChars="200"/>
        <w:rPr>
          <w:rFonts w:hint="eastAsia" w:ascii="宋体" w:hAnsi="宋体" w:cs="宋体"/>
          <w:sz w:val="24"/>
          <w:szCs w:val="24"/>
        </w:rPr>
      </w:pPr>
      <w:r>
        <w:rPr>
          <w:rFonts w:hint="eastAsia" w:ascii="宋体" w:hAnsi="宋体" w:cs="宋体"/>
          <w:sz w:val="24"/>
          <w:szCs w:val="24"/>
        </w:rPr>
        <w:t>11.</w:t>
      </w:r>
      <w:r>
        <w:rPr>
          <w:rFonts w:hint="eastAsia" w:ascii="宋体" w:hAnsi="宋体" w:cs="宋体"/>
          <w:sz w:val="24"/>
          <w:szCs w:val="24"/>
          <w:u w:val="single"/>
        </w:rPr>
        <w:t xml:space="preserve">                             </w:t>
      </w:r>
      <w:r>
        <w:rPr>
          <w:rFonts w:hint="eastAsia" w:ascii="宋体" w:hAnsi="宋体" w:cs="宋体"/>
          <w:sz w:val="24"/>
          <w:szCs w:val="24"/>
        </w:rPr>
        <w:t>；</w:t>
      </w:r>
    </w:p>
    <w:p>
      <w:pPr>
        <w:snapToGrid w:val="0"/>
        <w:ind w:firstLine="480" w:firstLineChars="200"/>
        <w:rPr>
          <w:rFonts w:hint="eastAsia" w:ascii="宋体" w:hAnsi="宋体" w:cs="宋体"/>
          <w:sz w:val="24"/>
          <w:szCs w:val="24"/>
        </w:rPr>
      </w:pPr>
      <w:r>
        <w:rPr>
          <w:rFonts w:hint="eastAsia" w:ascii="宋体" w:hAnsi="宋体" w:cs="宋体"/>
          <w:sz w:val="24"/>
          <w:szCs w:val="24"/>
        </w:rPr>
        <w:t>12. 法律、法规规定的其他权利义务。</w:t>
      </w:r>
    </w:p>
    <w:p>
      <w:pPr>
        <w:snapToGrid w:val="0"/>
        <w:ind w:firstLine="480" w:firstLineChars="200"/>
        <w:rPr>
          <w:rFonts w:hint="eastAsia" w:ascii="宋体" w:hAnsi="宋体" w:cs="宋体"/>
          <w:sz w:val="24"/>
          <w:szCs w:val="24"/>
        </w:rPr>
      </w:pPr>
      <w:r>
        <w:rPr>
          <w:rFonts w:hint="eastAsia" w:ascii="宋体" w:hAnsi="宋体" w:cs="宋体"/>
          <w:sz w:val="24"/>
          <w:szCs w:val="24"/>
        </w:rPr>
        <w:t>第二十二条  乙方权利义务</w:t>
      </w:r>
    </w:p>
    <w:p>
      <w:pPr>
        <w:snapToGrid w:val="0"/>
        <w:ind w:firstLine="480" w:firstLineChars="200"/>
        <w:rPr>
          <w:rFonts w:hint="eastAsia" w:ascii="宋体" w:hAnsi="宋体" w:cs="宋体"/>
          <w:sz w:val="24"/>
          <w:szCs w:val="24"/>
        </w:rPr>
      </w:pPr>
      <w:r>
        <w:rPr>
          <w:rFonts w:hint="eastAsia" w:ascii="宋体" w:hAnsi="宋体" w:cs="宋体"/>
          <w:sz w:val="24"/>
          <w:szCs w:val="24"/>
        </w:rPr>
        <w:t>1.设立专门机构负责本物业的日常服务工作，并按投标承诺委派相应专业要求的管理与技术人员履行本合同；</w:t>
      </w:r>
    </w:p>
    <w:p>
      <w:pPr>
        <w:snapToGrid w:val="0"/>
        <w:ind w:firstLine="480" w:firstLineChars="200"/>
        <w:rPr>
          <w:rFonts w:hint="eastAsia" w:ascii="宋体" w:hAnsi="宋体" w:cs="宋体"/>
          <w:sz w:val="24"/>
          <w:szCs w:val="24"/>
        </w:rPr>
      </w:pPr>
      <w:r>
        <w:rPr>
          <w:rFonts w:hint="eastAsia" w:ascii="宋体" w:hAnsi="宋体" w:cs="宋体"/>
          <w:sz w:val="24"/>
          <w:szCs w:val="24"/>
        </w:rPr>
        <w:t>2．按照物业管理相关法律法规规定及本合同的约定独立开展物业服务活动，接受业主、甲方的监督，每半年向全体业主或甲方报告一次本合同履行及物业服务工作开展情况；</w:t>
      </w:r>
    </w:p>
    <w:p>
      <w:pPr>
        <w:snapToGrid w:val="0"/>
        <w:ind w:firstLine="480" w:firstLineChars="200"/>
        <w:rPr>
          <w:rFonts w:hint="eastAsia" w:ascii="宋体" w:hAnsi="宋体" w:cs="宋体"/>
          <w:spacing w:val="-4"/>
          <w:sz w:val="24"/>
          <w:szCs w:val="24"/>
        </w:rPr>
      </w:pPr>
      <w:r>
        <w:rPr>
          <w:rFonts w:hint="eastAsia" w:ascii="宋体" w:hAnsi="宋体" w:cs="宋体"/>
          <w:sz w:val="24"/>
          <w:szCs w:val="24"/>
        </w:rPr>
        <w:t>3．</w:t>
      </w:r>
      <w:r>
        <w:rPr>
          <w:rFonts w:hint="eastAsia" w:ascii="宋体" w:hAnsi="宋体" w:cs="宋体"/>
          <w:spacing w:val="-4"/>
          <w:sz w:val="24"/>
          <w:szCs w:val="24"/>
        </w:rPr>
        <w:t>依法和本合同的约定，向业主（物业使用人）收取物业服务费；</w:t>
      </w:r>
    </w:p>
    <w:p>
      <w:pPr>
        <w:snapToGrid w:val="0"/>
        <w:ind w:firstLine="480" w:firstLineChars="200"/>
        <w:rPr>
          <w:rFonts w:hint="eastAsia" w:ascii="宋体" w:hAnsi="宋体" w:cs="宋体"/>
          <w:sz w:val="24"/>
          <w:szCs w:val="24"/>
        </w:rPr>
      </w:pPr>
      <w:r>
        <w:rPr>
          <w:rFonts w:hint="eastAsia" w:ascii="宋体" w:hAnsi="宋体" w:cs="宋体"/>
          <w:sz w:val="24"/>
          <w:szCs w:val="24"/>
        </w:rPr>
        <w:t>4．在首次业主大会成立并选举产生业主委员会前，乙方应配合甲方制定本物业管理区域内物业管理相关规章制度，获得甲方同意后实施。乙方根据规章制度提供物业服务时，甲方、业主（物业使用人）应积极给予配合；</w:t>
      </w:r>
    </w:p>
    <w:p>
      <w:pPr>
        <w:snapToGrid w:val="0"/>
        <w:ind w:firstLine="480" w:firstLineChars="200"/>
        <w:rPr>
          <w:rFonts w:hint="eastAsia" w:ascii="宋体" w:hAnsi="宋体" w:cs="宋体"/>
          <w:sz w:val="24"/>
          <w:szCs w:val="24"/>
        </w:rPr>
      </w:pPr>
      <w:r>
        <w:rPr>
          <w:rFonts w:hint="eastAsia" w:ascii="宋体" w:hAnsi="宋体" w:cs="宋体"/>
          <w:sz w:val="24"/>
          <w:szCs w:val="24"/>
        </w:rPr>
        <w:t>5．在甲方首期房屋交付前，乙方应安排主要管理人员和工程技术人员进驻现场，配合甲方做好房屋验收、承接查验及房屋交付、业主入住等服务工作；</w:t>
      </w:r>
    </w:p>
    <w:p>
      <w:pPr>
        <w:snapToGrid w:val="0"/>
        <w:ind w:firstLine="480" w:firstLineChars="200"/>
        <w:rPr>
          <w:rFonts w:hint="eastAsia" w:ascii="宋体" w:hAnsi="宋体" w:cs="宋体"/>
          <w:sz w:val="24"/>
          <w:szCs w:val="24"/>
        </w:rPr>
      </w:pPr>
      <w:r>
        <w:rPr>
          <w:rFonts w:hint="eastAsia" w:ascii="宋体" w:hAnsi="宋体" w:cs="宋体"/>
          <w:sz w:val="24"/>
          <w:szCs w:val="24"/>
        </w:rPr>
        <w:t>6．对业主或物业使用人违反物业管理相关规定及《临时管理规约》的行为，应采取告知、规劝、制止、向有关部门报告并申请强制执行等措施；</w:t>
      </w:r>
    </w:p>
    <w:p>
      <w:pPr>
        <w:snapToGrid w:val="0"/>
        <w:ind w:firstLine="480" w:firstLineChars="200"/>
        <w:rPr>
          <w:rFonts w:hint="eastAsia" w:ascii="宋体" w:hAnsi="宋体" w:cs="宋体"/>
          <w:sz w:val="24"/>
          <w:szCs w:val="24"/>
        </w:rPr>
      </w:pPr>
      <w:r>
        <w:rPr>
          <w:rFonts w:hint="eastAsia" w:ascii="宋体" w:hAnsi="宋体" w:cs="宋体"/>
          <w:sz w:val="24"/>
          <w:szCs w:val="24"/>
        </w:rPr>
        <w:t>7.可选聘专业公司承担本物业的专项服务业务，但不得将全部管理事项转让给第三方；</w:t>
      </w:r>
    </w:p>
    <w:p>
      <w:pPr>
        <w:snapToGrid w:val="0"/>
        <w:ind w:firstLine="480" w:firstLineChars="200"/>
        <w:rPr>
          <w:rFonts w:hint="eastAsia" w:ascii="宋体" w:hAnsi="宋体" w:cs="宋体"/>
          <w:sz w:val="24"/>
          <w:szCs w:val="24"/>
        </w:rPr>
      </w:pPr>
      <w:r>
        <w:rPr>
          <w:rFonts w:hint="eastAsia" w:ascii="宋体" w:hAnsi="宋体" w:cs="宋体"/>
          <w:sz w:val="24"/>
          <w:szCs w:val="24"/>
        </w:rPr>
        <w:t>8.结合本物业的实际情况，编制物业服务方案、年度季度服务计划、年度维修养护计划、年度费用预算和决算报告；保修期满后，乙方应根据物业实际情况制定本物业的年度大修、中修和更新、改造方 案，并按规定程序办理；</w:t>
      </w:r>
    </w:p>
    <w:p>
      <w:pPr>
        <w:snapToGrid w:val="0"/>
        <w:ind w:firstLine="480" w:firstLineChars="200"/>
        <w:rPr>
          <w:rFonts w:hint="eastAsia" w:ascii="宋体" w:hAnsi="宋体" w:cs="宋体"/>
          <w:sz w:val="24"/>
          <w:szCs w:val="24"/>
        </w:rPr>
      </w:pPr>
      <w:r>
        <w:rPr>
          <w:rFonts w:hint="eastAsia" w:ascii="宋体" w:hAnsi="宋体" w:cs="宋体"/>
          <w:sz w:val="24"/>
          <w:szCs w:val="24"/>
        </w:rPr>
        <w:t>9.在业主办理交房手续时，应将房屋装饰装修中的禁止行为和注意事项书面告知业主，并按规定与装饰装修房屋的业主签订房屋装饰装修管理服务协议；</w:t>
      </w:r>
    </w:p>
    <w:p>
      <w:pPr>
        <w:snapToGrid w:val="0"/>
        <w:ind w:firstLine="480" w:firstLineChars="200"/>
        <w:rPr>
          <w:rFonts w:hint="eastAsia" w:ascii="宋体" w:hAnsi="宋体" w:cs="宋体"/>
          <w:sz w:val="24"/>
          <w:szCs w:val="24"/>
        </w:rPr>
      </w:pPr>
      <w:r>
        <w:rPr>
          <w:rFonts w:hint="eastAsia" w:ascii="宋体" w:hAnsi="宋体" w:cs="宋体"/>
          <w:sz w:val="24"/>
          <w:szCs w:val="24"/>
        </w:rPr>
        <w:t>10.乙方应及时向全体业主通告本物业管理区域内有关物业管理的重大事项，及时处理业主和物业使用人的投诉；</w:t>
      </w:r>
    </w:p>
    <w:p>
      <w:pPr>
        <w:snapToGrid w:val="0"/>
        <w:ind w:firstLine="480" w:firstLineChars="200"/>
        <w:rPr>
          <w:rFonts w:hint="eastAsia" w:ascii="宋体" w:hAnsi="宋体" w:cs="宋体"/>
          <w:sz w:val="24"/>
          <w:szCs w:val="24"/>
        </w:rPr>
      </w:pPr>
      <w:r>
        <w:rPr>
          <w:rFonts w:hint="eastAsia" w:ascii="宋体" w:hAnsi="宋体" w:cs="宋体"/>
          <w:sz w:val="24"/>
          <w:szCs w:val="24"/>
        </w:rPr>
        <w:t>11.因物业维修或者公共利益需要确需临时占用、挖掘本物业管理区域内道路、场地的，应征得相关业主和乙方的同意；乙方确需临时占用、挖掘本物业管理区域内道路、场地的，应征得甲方或相关业主的同意。</w:t>
      </w:r>
    </w:p>
    <w:p>
      <w:pPr>
        <w:snapToGrid w:val="0"/>
        <w:ind w:firstLine="480" w:firstLineChars="200"/>
        <w:rPr>
          <w:rFonts w:hint="eastAsia" w:ascii="宋体" w:hAnsi="宋体" w:cs="宋体"/>
          <w:sz w:val="24"/>
          <w:szCs w:val="24"/>
        </w:rPr>
      </w:pPr>
      <w:r>
        <w:rPr>
          <w:rFonts w:hint="eastAsia" w:ascii="宋体" w:hAnsi="宋体" w:cs="宋体"/>
          <w:sz w:val="24"/>
          <w:szCs w:val="24"/>
        </w:rPr>
        <w:t>临时占用、挖掘本物业管理区域内道路、场地的，应在约定期限内恢复原状；</w:t>
      </w:r>
    </w:p>
    <w:p>
      <w:pPr>
        <w:snapToGrid w:val="0"/>
        <w:ind w:firstLine="480" w:firstLineChars="200"/>
        <w:rPr>
          <w:rFonts w:hint="eastAsia" w:ascii="宋体" w:hAnsi="宋体" w:cs="宋体"/>
          <w:sz w:val="24"/>
          <w:szCs w:val="24"/>
        </w:rPr>
      </w:pPr>
      <w:r>
        <w:rPr>
          <w:rFonts w:hint="eastAsia" w:ascii="宋体" w:hAnsi="宋体" w:cs="宋体"/>
          <w:sz w:val="24"/>
          <w:szCs w:val="24"/>
        </w:rPr>
        <w:t>12.建立、妥善保管和正确使用本物业的管理服务档案，并负责及时记载有关变更情况，不得泄露业主个人信息资料；</w:t>
      </w:r>
    </w:p>
    <w:p>
      <w:pPr>
        <w:snapToGrid w:val="0"/>
        <w:ind w:firstLine="480" w:firstLineChars="200"/>
        <w:rPr>
          <w:rFonts w:hint="eastAsia" w:ascii="宋体" w:hAnsi="宋体" w:cs="宋体"/>
          <w:sz w:val="24"/>
          <w:szCs w:val="24"/>
        </w:rPr>
      </w:pPr>
      <w:r>
        <w:rPr>
          <w:rFonts w:hint="eastAsia" w:ascii="宋体" w:hAnsi="宋体" w:cs="宋体"/>
          <w:sz w:val="24"/>
          <w:szCs w:val="24"/>
        </w:rPr>
        <w:t>13.本合同依法解除、协商解除、单方解除或者期满终止时,乙方应当按照有关规定和本合同约定退出本物业管理区域的物业服务，并按有关规定和本合同约定办理移交手续和项目退出手续；</w:t>
      </w:r>
    </w:p>
    <w:p>
      <w:pPr>
        <w:snapToGrid w:val="0"/>
        <w:ind w:firstLine="480" w:firstLineChars="200"/>
        <w:rPr>
          <w:rFonts w:hint="eastAsia" w:ascii="宋体" w:hAnsi="宋体" w:cs="宋体"/>
          <w:sz w:val="24"/>
          <w:szCs w:val="24"/>
        </w:rPr>
      </w:pPr>
      <w:r>
        <w:rPr>
          <w:rFonts w:hint="eastAsia" w:ascii="宋体" w:hAnsi="宋体" w:cs="宋体"/>
          <w:sz w:val="24"/>
          <w:szCs w:val="24"/>
        </w:rPr>
        <w:t>1</w:t>
      </w:r>
      <w:r>
        <w:rPr>
          <w:rFonts w:ascii="宋体" w:hAnsi="宋体" w:cs="宋体"/>
          <w:sz w:val="24"/>
          <w:szCs w:val="24"/>
        </w:rPr>
        <w:t>4</w:t>
      </w:r>
      <w:r>
        <w:rPr>
          <w:rFonts w:hint="eastAsia" w:ascii="宋体" w:hAnsi="宋体" w:cs="宋体"/>
          <w:sz w:val="24"/>
          <w:szCs w:val="24"/>
        </w:rPr>
        <w:t>.法律、法规规定的其他权利义务。</w:t>
      </w:r>
    </w:p>
    <w:p>
      <w:pPr>
        <w:snapToGrid w:val="0"/>
        <w:jc w:val="center"/>
        <w:rPr>
          <w:rFonts w:hint="eastAsia" w:ascii="宋体" w:hAnsi="宋体" w:cs="宋体"/>
          <w:sz w:val="24"/>
          <w:szCs w:val="24"/>
        </w:rPr>
      </w:pPr>
      <w:r>
        <w:rPr>
          <w:rFonts w:hint="eastAsia" w:ascii="宋体" w:hAnsi="宋体" w:cs="宋体"/>
          <w:sz w:val="24"/>
          <w:szCs w:val="24"/>
        </w:rPr>
        <w:t>第七章 物业管理服务期限</w:t>
      </w:r>
    </w:p>
    <w:p>
      <w:pPr>
        <w:snapToGrid w:val="0"/>
        <w:ind w:firstLine="588" w:firstLineChars="245"/>
        <w:rPr>
          <w:rFonts w:hint="eastAsia" w:ascii="宋体" w:hAnsi="宋体" w:cs="宋体"/>
          <w:sz w:val="24"/>
          <w:szCs w:val="24"/>
        </w:rPr>
      </w:pPr>
      <w:r>
        <w:rPr>
          <w:rFonts w:hint="eastAsia" w:ascii="宋体" w:hAnsi="宋体" w:cs="宋体"/>
          <w:sz w:val="24"/>
          <w:szCs w:val="24"/>
        </w:rPr>
        <w:t>第二十三条本合同为期</w:t>
      </w:r>
      <w:r>
        <w:rPr>
          <w:rFonts w:hint="eastAsia" w:ascii="宋体" w:hAnsi="宋体" w:cs="宋体"/>
          <w:sz w:val="24"/>
          <w:szCs w:val="24"/>
          <w:u w:val="single"/>
        </w:rPr>
        <w:t xml:space="preserve">    </w:t>
      </w:r>
      <w:r>
        <w:rPr>
          <w:rFonts w:hint="eastAsia" w:ascii="宋体" w:hAnsi="宋体" w:cs="宋体"/>
          <w:sz w:val="24"/>
          <w:szCs w:val="24"/>
        </w:rPr>
        <w:t>年，自</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日起至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日止。</w:t>
      </w:r>
    </w:p>
    <w:p>
      <w:pPr>
        <w:snapToGrid w:val="0"/>
        <w:ind w:firstLine="588" w:firstLineChars="245"/>
        <w:rPr>
          <w:rFonts w:hint="eastAsia" w:ascii="宋体" w:hAnsi="宋体" w:cs="宋体"/>
          <w:sz w:val="24"/>
          <w:szCs w:val="24"/>
        </w:rPr>
      </w:pPr>
      <w:r>
        <w:rPr>
          <w:rFonts w:hint="eastAsia" w:ascii="宋体" w:hAnsi="宋体" w:cs="宋体"/>
          <w:sz w:val="24"/>
          <w:szCs w:val="24"/>
        </w:rPr>
        <w:t>若本合同期限未满，且业主委员会代表业主与业主大会依法选聘的物业服务企业并与其签订《物业服务合同》的，本合同自动终止。</w:t>
      </w:r>
    </w:p>
    <w:p>
      <w:pPr>
        <w:snapToGrid w:val="0"/>
        <w:ind w:firstLine="588" w:firstLineChars="245"/>
        <w:rPr>
          <w:rFonts w:hint="eastAsia" w:ascii="宋体" w:hAnsi="宋体" w:cs="宋体"/>
          <w:sz w:val="24"/>
          <w:szCs w:val="24"/>
        </w:rPr>
      </w:pPr>
      <w:r>
        <w:rPr>
          <w:rFonts w:hint="eastAsia" w:ascii="宋体" w:hAnsi="宋体" w:cs="宋体"/>
          <w:sz w:val="24"/>
          <w:szCs w:val="24"/>
        </w:rPr>
        <w:t>第二十四条  本合同期限届满前</w:t>
      </w:r>
      <w:r>
        <w:rPr>
          <w:rFonts w:hint="eastAsia" w:ascii="宋体" w:hAnsi="宋体" w:cs="宋体"/>
          <w:sz w:val="24"/>
          <w:szCs w:val="24"/>
          <w:u w:val="single"/>
        </w:rPr>
        <w:t xml:space="preserve">    </w:t>
      </w:r>
      <w:r>
        <w:rPr>
          <w:rFonts w:hint="eastAsia" w:ascii="宋体" w:hAnsi="宋体" w:cs="宋体"/>
          <w:sz w:val="24"/>
          <w:szCs w:val="24"/>
        </w:rPr>
        <w:t>月，业主大会尚未成立的，甲、乙双方应就延长本合同期限达成协议；双方未能达成协议的，乙方应在本合同期限届满后</w:t>
      </w:r>
      <w:r>
        <w:rPr>
          <w:rFonts w:hint="eastAsia" w:ascii="宋体" w:hAnsi="宋体" w:cs="宋体"/>
          <w:sz w:val="24"/>
          <w:szCs w:val="24"/>
          <w:u w:val="single"/>
        </w:rPr>
        <w:t xml:space="preserve">    </w:t>
      </w:r>
      <w:r>
        <w:rPr>
          <w:rFonts w:hint="eastAsia" w:ascii="宋体" w:hAnsi="宋体" w:cs="宋体"/>
          <w:sz w:val="24"/>
          <w:szCs w:val="24"/>
        </w:rPr>
        <w:t>月内继续履行本合同，甲方或全体业主应在此期间依法选聘新的物业服务企业或其他管理人。</w:t>
      </w:r>
    </w:p>
    <w:p>
      <w:pPr>
        <w:snapToGrid w:val="0"/>
        <w:jc w:val="left"/>
        <w:rPr>
          <w:rFonts w:hint="eastAsia" w:ascii="宋体" w:hAnsi="宋体" w:cs="宋体"/>
          <w:sz w:val="24"/>
          <w:szCs w:val="24"/>
        </w:rPr>
      </w:pPr>
      <w:r>
        <w:rPr>
          <w:rFonts w:hint="eastAsia" w:ascii="宋体" w:hAnsi="宋体" w:cs="宋体"/>
          <w:sz w:val="24"/>
          <w:szCs w:val="24"/>
        </w:rPr>
        <w:t>第八章 违约责任</w:t>
      </w:r>
    </w:p>
    <w:p>
      <w:pPr>
        <w:snapToGrid w:val="0"/>
        <w:jc w:val="left"/>
        <w:rPr>
          <w:rFonts w:hint="eastAsia" w:ascii="宋体" w:hAnsi="宋体" w:cs="宋体"/>
          <w:sz w:val="24"/>
          <w:szCs w:val="24"/>
        </w:rPr>
      </w:pPr>
      <w:r>
        <w:rPr>
          <w:rFonts w:hint="eastAsia" w:ascii="宋体" w:hAnsi="宋体" w:cs="宋体"/>
          <w:sz w:val="24"/>
          <w:szCs w:val="24"/>
        </w:rPr>
        <w:t>第二十五条  因甲方原因导致乙方未完成本合同约定的物业管理服务目标，乙方有权要求甲方在一定期限内解决，逾期未解决或造成乙方经济损失的，乙方有权依法解除本合同，并要求甲方给予乙方经济赔偿。</w:t>
      </w:r>
    </w:p>
    <w:p>
      <w:pPr>
        <w:snapToGrid w:val="0"/>
        <w:jc w:val="left"/>
        <w:rPr>
          <w:rFonts w:hint="eastAsia" w:ascii="宋体" w:hAnsi="宋体" w:cs="宋体"/>
          <w:sz w:val="24"/>
          <w:szCs w:val="24"/>
        </w:rPr>
      </w:pPr>
      <w:r>
        <w:rPr>
          <w:rFonts w:hint="eastAsia" w:ascii="宋体" w:hAnsi="宋体" w:cs="宋体"/>
          <w:sz w:val="24"/>
          <w:szCs w:val="24"/>
        </w:rPr>
        <w:t>第二十六条  因乙方原因未能达到约定的管理目标，甲方有权要求乙方限期整改；逾期未整改或整改不符合合同约定，造成甲方经济损失或一定后果的，甲方有权依法解除本合同，并要求乙方给予甲方经济赔偿。</w:t>
      </w:r>
    </w:p>
    <w:p>
      <w:pPr>
        <w:snapToGrid w:val="0"/>
        <w:jc w:val="left"/>
        <w:rPr>
          <w:rFonts w:hint="eastAsia" w:ascii="宋体" w:hAnsi="宋体" w:cs="宋体"/>
          <w:sz w:val="24"/>
          <w:szCs w:val="24"/>
        </w:rPr>
      </w:pPr>
      <w:r>
        <w:rPr>
          <w:rFonts w:hint="eastAsia" w:ascii="宋体" w:hAnsi="宋体" w:cs="宋体"/>
          <w:sz w:val="24"/>
          <w:szCs w:val="24"/>
        </w:rPr>
        <w:t>第二十七条  甲方、业主违反本合同的约定，未能按时足额支付乙方物业管理服务等相关费用的，乙方有权要求甲方、业主限期交纳。逾期仍不缴纳的，乙方可以向人民法院起诉。</w:t>
      </w:r>
    </w:p>
    <w:p>
      <w:pPr>
        <w:snapToGrid w:val="0"/>
        <w:jc w:val="left"/>
        <w:rPr>
          <w:rFonts w:hint="eastAsia" w:ascii="宋体" w:hAnsi="宋体" w:cs="宋体"/>
          <w:sz w:val="24"/>
          <w:szCs w:val="24"/>
        </w:rPr>
      </w:pPr>
      <w:r>
        <w:rPr>
          <w:rFonts w:hint="eastAsia" w:ascii="宋体" w:hAnsi="宋体" w:cs="宋体"/>
          <w:sz w:val="24"/>
          <w:szCs w:val="24"/>
        </w:rPr>
        <w:t>乙方违反本合同约定，擅自提高物业管理服务收费标准的，对超出标准的部分，业主有权拒绝支付；已经支付的，业主有权要求乙方清退多收费用。</w:t>
      </w:r>
    </w:p>
    <w:p>
      <w:pPr>
        <w:snapToGrid w:val="0"/>
        <w:jc w:val="left"/>
        <w:rPr>
          <w:rFonts w:hint="eastAsia" w:ascii="宋体" w:hAnsi="宋体" w:cs="宋体"/>
          <w:sz w:val="24"/>
          <w:szCs w:val="24"/>
        </w:rPr>
      </w:pPr>
      <w:r>
        <w:rPr>
          <w:rFonts w:hint="eastAsia" w:ascii="宋体" w:hAnsi="宋体" w:cs="宋体"/>
          <w:sz w:val="24"/>
          <w:szCs w:val="24"/>
        </w:rPr>
        <w:t>第二十八条  因房屋、设备设施质量或安装技术等原因，达不到使用功能，造成重大事故的，由甲方承担责任并作善后处理。因乙方管理不善或操作不当等原因造成重大事故的，由乙方承担责任并负责善后处理。产生事故的直接原因，以相关主管部门的鉴定为准。</w:t>
      </w:r>
    </w:p>
    <w:p>
      <w:pPr>
        <w:snapToGrid w:val="0"/>
        <w:jc w:val="left"/>
        <w:rPr>
          <w:rFonts w:hint="eastAsia" w:ascii="宋体" w:hAnsi="宋体" w:cs="宋体"/>
          <w:sz w:val="24"/>
          <w:szCs w:val="24"/>
        </w:rPr>
      </w:pPr>
      <w:r>
        <w:rPr>
          <w:rFonts w:hint="eastAsia" w:ascii="宋体" w:hAnsi="宋体" w:cs="宋体"/>
          <w:sz w:val="24"/>
          <w:szCs w:val="24"/>
        </w:rPr>
        <w:t>第二十九条  以下情况乙方不承担责任：</w:t>
      </w:r>
    </w:p>
    <w:p>
      <w:pPr>
        <w:snapToGrid w:val="0"/>
        <w:jc w:val="left"/>
        <w:rPr>
          <w:rFonts w:hint="eastAsia" w:ascii="宋体" w:hAnsi="宋体" w:cs="宋体"/>
          <w:sz w:val="24"/>
          <w:szCs w:val="24"/>
        </w:rPr>
      </w:pPr>
      <w:r>
        <w:rPr>
          <w:rFonts w:hint="eastAsia" w:ascii="宋体" w:hAnsi="宋体" w:cs="宋体"/>
          <w:sz w:val="24"/>
          <w:szCs w:val="24"/>
        </w:rPr>
        <w:t>1．由于房屋本体及配套设施设备重大质量问题，以及甲方、业主等原因导致乙方的物业管理服务无法达到合同要求的；</w:t>
      </w:r>
    </w:p>
    <w:p>
      <w:pPr>
        <w:snapToGrid w:val="0"/>
        <w:jc w:val="left"/>
        <w:rPr>
          <w:rFonts w:hint="eastAsia" w:ascii="宋体" w:hAnsi="宋体" w:cs="宋体"/>
          <w:sz w:val="24"/>
          <w:szCs w:val="24"/>
        </w:rPr>
      </w:pPr>
      <w:r>
        <w:rPr>
          <w:rFonts w:hint="eastAsia" w:ascii="宋体" w:hAnsi="宋体" w:cs="宋体"/>
          <w:sz w:val="24"/>
          <w:szCs w:val="24"/>
        </w:rPr>
        <w:t>2．因不可抗力导致物业管理服务中断而给甲方、业主造成损失的；</w:t>
      </w:r>
    </w:p>
    <w:p>
      <w:pPr>
        <w:snapToGrid w:val="0"/>
        <w:jc w:val="left"/>
        <w:rPr>
          <w:rFonts w:hint="eastAsia" w:ascii="宋体" w:hAnsi="宋体" w:cs="宋体"/>
          <w:sz w:val="24"/>
          <w:szCs w:val="24"/>
        </w:rPr>
      </w:pPr>
      <w:r>
        <w:rPr>
          <w:rFonts w:hint="eastAsia" w:ascii="宋体" w:hAnsi="宋体" w:cs="宋体"/>
          <w:sz w:val="24"/>
          <w:szCs w:val="24"/>
        </w:rPr>
        <w:t>3．因维修养护物业共用部位、共用设施设备需要且事先已告知业主和物业使用人，暂时停水、停电、停止共用设施设备使用等造成损失的；</w:t>
      </w:r>
    </w:p>
    <w:p>
      <w:pPr>
        <w:snapToGrid w:val="0"/>
        <w:jc w:val="left"/>
        <w:rPr>
          <w:rFonts w:hint="eastAsia" w:ascii="宋体" w:hAnsi="宋体" w:cs="宋体"/>
          <w:sz w:val="24"/>
          <w:szCs w:val="24"/>
        </w:rPr>
      </w:pPr>
      <w:r>
        <w:rPr>
          <w:rFonts w:hint="eastAsia" w:ascii="宋体" w:hAnsi="宋体" w:cs="宋体"/>
          <w:sz w:val="24"/>
          <w:szCs w:val="24"/>
        </w:rPr>
        <w:t>4．非乙方原因出现供水、供电、供气、供热、通讯、电梯、消防、有线电视及其他共用设施设备运行障碍造成损失的；</w:t>
      </w:r>
    </w:p>
    <w:p>
      <w:pPr>
        <w:snapToGrid w:val="0"/>
        <w:jc w:val="left"/>
        <w:rPr>
          <w:rFonts w:hint="eastAsia" w:ascii="宋体" w:hAnsi="宋体" w:cs="宋体"/>
          <w:sz w:val="24"/>
          <w:szCs w:val="24"/>
        </w:rPr>
      </w:pPr>
      <w:r>
        <w:rPr>
          <w:rFonts w:hint="eastAsia" w:ascii="宋体" w:hAnsi="宋体" w:cs="宋体"/>
          <w:sz w:val="24"/>
          <w:szCs w:val="24"/>
        </w:rPr>
        <w:t>5．在本物业管理区域内发生治安或刑事案件包括但不限于伤害、抢劫、破坏、爆炸、火灾、盗窃等事由造成损害的，如因乙方故意或存在过失的除外；</w:t>
      </w:r>
    </w:p>
    <w:p>
      <w:pPr>
        <w:snapToGrid w:val="0"/>
        <w:jc w:val="left"/>
        <w:rPr>
          <w:rFonts w:hint="eastAsia" w:ascii="宋体" w:hAnsi="宋体" w:cs="宋体"/>
          <w:sz w:val="24"/>
          <w:szCs w:val="24"/>
        </w:rPr>
      </w:pPr>
      <w:r>
        <w:rPr>
          <w:rFonts w:hint="eastAsia" w:ascii="宋体" w:hAnsi="宋体" w:cs="宋体"/>
          <w:sz w:val="24"/>
          <w:szCs w:val="24"/>
        </w:rPr>
        <w:t>6．其他法律、法规规定或与甲方、业主另有约定的情形。</w:t>
      </w:r>
    </w:p>
    <w:p>
      <w:pPr>
        <w:snapToGrid w:val="0"/>
        <w:jc w:val="left"/>
        <w:rPr>
          <w:rFonts w:hint="eastAsia" w:ascii="宋体" w:hAnsi="宋体" w:cs="宋体"/>
          <w:sz w:val="24"/>
          <w:szCs w:val="24"/>
        </w:rPr>
      </w:pPr>
      <w:r>
        <w:rPr>
          <w:rFonts w:hint="eastAsia" w:ascii="宋体" w:hAnsi="宋体" w:cs="宋体"/>
          <w:sz w:val="24"/>
          <w:szCs w:val="24"/>
        </w:rPr>
        <w:t>第九章 附则</w:t>
      </w:r>
    </w:p>
    <w:p>
      <w:pPr>
        <w:snapToGrid w:val="0"/>
        <w:ind w:firstLine="470" w:firstLineChars="196"/>
        <w:jc w:val="left"/>
        <w:rPr>
          <w:rFonts w:hint="eastAsia" w:ascii="宋体" w:hAnsi="宋体" w:cs="宋体"/>
          <w:sz w:val="24"/>
          <w:szCs w:val="24"/>
        </w:rPr>
      </w:pPr>
      <w:r>
        <w:rPr>
          <w:rFonts w:hint="eastAsia" w:ascii="宋体" w:hAnsi="宋体" w:cs="宋体"/>
          <w:sz w:val="24"/>
          <w:szCs w:val="24"/>
        </w:rPr>
        <w:t>第三十条  本合同终止时，乙方应将物业管理用房、物业管理相关资料等属于全体业主所有的财物及时完整的移交给业主委员会；业主委员会尚未成立的，应移交给甲方或</w:t>
      </w:r>
      <w:r>
        <w:rPr>
          <w:rFonts w:hint="eastAsia" w:ascii="宋体" w:hAnsi="宋体" w:cs="宋体"/>
          <w:sz w:val="24"/>
          <w:szCs w:val="24"/>
          <w:u w:val="single"/>
        </w:rPr>
        <w:t xml:space="preserve">       </w:t>
      </w:r>
      <w:r>
        <w:rPr>
          <w:rFonts w:hint="eastAsia" w:ascii="宋体" w:hAnsi="宋体" w:cs="宋体"/>
          <w:sz w:val="24"/>
          <w:szCs w:val="24"/>
        </w:rPr>
        <w:t>代管；并按照住房和城乡建设部《物业承接查验办法》、《安徽省物业管理条例》等相关规定办理移交和项目退出手续。</w:t>
      </w:r>
    </w:p>
    <w:p>
      <w:pPr>
        <w:snapToGrid w:val="0"/>
        <w:ind w:firstLine="480" w:firstLineChars="200"/>
        <w:jc w:val="left"/>
        <w:rPr>
          <w:rFonts w:hint="eastAsia" w:ascii="宋体" w:hAnsi="宋体" w:cs="宋体"/>
          <w:sz w:val="24"/>
          <w:szCs w:val="24"/>
        </w:rPr>
      </w:pPr>
      <w:r>
        <w:rPr>
          <w:rFonts w:hint="eastAsia" w:ascii="宋体" w:hAnsi="宋体" w:cs="宋体"/>
          <w:sz w:val="24"/>
          <w:szCs w:val="24"/>
        </w:rPr>
        <w:t>第三十一条  为维护甲方、业主的切身利益，在不可预见情况下，如发生煤气泄漏、漏电、火灾、水管破裂、救助生命、协助公安机关执行任务等突发事件，甲方、业主应积极配合乙方对上述情形发生时所采取的紧急避险措施。乙方不承担由此造成的责任和损失。</w:t>
      </w:r>
    </w:p>
    <w:p>
      <w:pPr>
        <w:snapToGrid w:val="0"/>
        <w:ind w:firstLine="480" w:firstLineChars="200"/>
        <w:jc w:val="left"/>
        <w:rPr>
          <w:rFonts w:hint="eastAsia" w:ascii="宋体" w:hAnsi="宋体" w:cs="宋体"/>
          <w:sz w:val="24"/>
          <w:szCs w:val="24"/>
        </w:rPr>
      </w:pPr>
      <w:r>
        <w:rPr>
          <w:rFonts w:hint="eastAsia" w:ascii="宋体" w:hAnsi="宋体" w:cs="宋体"/>
          <w:sz w:val="24"/>
          <w:szCs w:val="24"/>
        </w:rPr>
        <w:t>第三十二条  甲、乙双方可对本合同的条款进行补充，以书面形式签订补充协议，补充协议与本合同具有同等效力。</w:t>
      </w:r>
    </w:p>
    <w:p>
      <w:pPr>
        <w:snapToGrid w:val="0"/>
        <w:ind w:firstLine="480" w:firstLineChars="200"/>
        <w:jc w:val="left"/>
        <w:rPr>
          <w:rFonts w:hint="eastAsia" w:ascii="宋体" w:hAnsi="宋体" w:cs="宋体"/>
          <w:sz w:val="24"/>
          <w:szCs w:val="24"/>
        </w:rPr>
      </w:pPr>
      <w:r>
        <w:rPr>
          <w:rFonts w:hint="eastAsia" w:ascii="宋体" w:hAnsi="宋体" w:cs="宋体"/>
          <w:sz w:val="24"/>
          <w:szCs w:val="24"/>
        </w:rPr>
        <w:t>第三十三条  合同有效期内，如价格主管部门批准调整相关物业服务收费标准，从批准执行之日起，乙方可按照调整后的标准向甲方、业主、物业使用人收取。</w:t>
      </w:r>
    </w:p>
    <w:p>
      <w:pPr>
        <w:snapToGrid w:val="0"/>
        <w:ind w:firstLine="480" w:firstLineChars="200"/>
        <w:jc w:val="left"/>
        <w:rPr>
          <w:rFonts w:hint="eastAsia" w:ascii="宋体" w:hAnsi="宋体" w:cs="宋体"/>
          <w:sz w:val="24"/>
          <w:szCs w:val="24"/>
        </w:rPr>
      </w:pPr>
      <w:r>
        <w:rPr>
          <w:rFonts w:hint="eastAsia" w:ascii="宋体" w:hAnsi="宋体" w:cs="宋体"/>
          <w:sz w:val="24"/>
          <w:szCs w:val="24"/>
        </w:rPr>
        <w:t>第三十四条  本合同在履行中如发生争议，甲、乙双方应协商解决，协商不成的，采取下列第</w:t>
      </w:r>
      <w:r>
        <w:rPr>
          <w:rFonts w:hint="eastAsia" w:ascii="宋体" w:hAnsi="宋体" w:cs="宋体"/>
          <w:sz w:val="24"/>
          <w:szCs w:val="24"/>
          <w:u w:val="single"/>
        </w:rPr>
        <w:t xml:space="preserve"> 2   </w:t>
      </w:r>
      <w:r>
        <w:rPr>
          <w:rFonts w:hint="eastAsia" w:ascii="宋体" w:hAnsi="宋体" w:cs="宋体"/>
          <w:sz w:val="24"/>
          <w:szCs w:val="24"/>
        </w:rPr>
        <w:t>种方式解决：</w:t>
      </w:r>
    </w:p>
    <w:p>
      <w:pPr>
        <w:snapToGrid w:val="0"/>
        <w:ind w:firstLine="480" w:firstLineChars="200"/>
        <w:jc w:val="left"/>
        <w:rPr>
          <w:rFonts w:hint="eastAsia" w:ascii="宋体" w:hAnsi="宋体" w:cs="宋体"/>
          <w:sz w:val="24"/>
          <w:szCs w:val="24"/>
        </w:rPr>
      </w:pPr>
      <w:r>
        <w:rPr>
          <w:rFonts w:hint="eastAsia" w:ascii="宋体" w:hAnsi="宋体" w:cs="宋体"/>
          <w:sz w:val="24"/>
          <w:szCs w:val="24"/>
        </w:rPr>
        <w:t xml:space="preserve"> 1．提交仲裁委员会仲裁；</w:t>
      </w:r>
    </w:p>
    <w:p>
      <w:pPr>
        <w:snapToGrid w:val="0"/>
        <w:ind w:firstLine="480" w:firstLineChars="200"/>
        <w:jc w:val="left"/>
        <w:rPr>
          <w:rFonts w:hint="eastAsia" w:ascii="宋体" w:hAnsi="宋体" w:cs="宋体"/>
          <w:sz w:val="24"/>
          <w:szCs w:val="24"/>
        </w:rPr>
      </w:pPr>
      <w:r>
        <w:rPr>
          <w:rFonts w:hint="eastAsia" w:ascii="宋体" w:hAnsi="宋体" w:cs="宋体"/>
          <w:sz w:val="24"/>
          <w:szCs w:val="24"/>
        </w:rPr>
        <w:t xml:space="preserve"> 2．依法向本物业所在地人民法院提起诉讼。</w:t>
      </w:r>
    </w:p>
    <w:p>
      <w:pPr>
        <w:snapToGrid w:val="0"/>
        <w:ind w:firstLine="480" w:firstLineChars="200"/>
        <w:jc w:val="left"/>
        <w:rPr>
          <w:rFonts w:hint="eastAsia" w:ascii="宋体" w:hAnsi="宋体" w:cs="宋体"/>
          <w:sz w:val="24"/>
          <w:szCs w:val="24"/>
        </w:rPr>
      </w:pPr>
      <w:r>
        <w:rPr>
          <w:rFonts w:hint="eastAsia" w:ascii="宋体" w:hAnsi="宋体" w:cs="宋体"/>
          <w:sz w:val="24"/>
          <w:szCs w:val="24"/>
        </w:rPr>
        <w:t>第三十五条  本合同连一式</w:t>
      </w:r>
      <w:r>
        <w:rPr>
          <w:rFonts w:hint="eastAsia" w:ascii="宋体" w:hAnsi="宋体" w:cs="宋体"/>
          <w:sz w:val="24"/>
          <w:szCs w:val="24"/>
          <w:u w:val="single"/>
        </w:rPr>
        <w:t xml:space="preserve">  肆  </w:t>
      </w:r>
      <w:r>
        <w:rPr>
          <w:rFonts w:hint="eastAsia" w:ascii="宋体" w:hAnsi="宋体" w:cs="宋体"/>
          <w:sz w:val="24"/>
          <w:szCs w:val="24"/>
        </w:rPr>
        <w:t>份，甲乙双方各执</w:t>
      </w:r>
      <w:r>
        <w:rPr>
          <w:rFonts w:hint="eastAsia" w:ascii="宋体" w:hAnsi="宋体" w:cs="宋体"/>
          <w:sz w:val="24"/>
          <w:szCs w:val="24"/>
          <w:u w:val="single"/>
        </w:rPr>
        <w:t xml:space="preserve"> 壹   </w:t>
      </w:r>
      <w:r>
        <w:rPr>
          <w:rFonts w:hint="eastAsia" w:ascii="宋体" w:hAnsi="宋体" w:cs="宋体"/>
          <w:sz w:val="24"/>
          <w:szCs w:val="24"/>
        </w:rPr>
        <w:t>份，报市（县）、区物业管理行业主管部门备案各一份，具有同等法律效力。</w:t>
      </w:r>
    </w:p>
    <w:p>
      <w:pPr>
        <w:snapToGrid w:val="0"/>
        <w:ind w:firstLine="480" w:firstLineChars="200"/>
        <w:jc w:val="left"/>
        <w:rPr>
          <w:rFonts w:hint="eastAsia" w:ascii="宋体" w:hAnsi="宋体" w:cs="宋体"/>
          <w:sz w:val="24"/>
          <w:szCs w:val="24"/>
        </w:rPr>
      </w:pPr>
      <w:r>
        <w:rPr>
          <w:rFonts w:hint="eastAsia" w:ascii="宋体" w:hAnsi="宋体" w:cs="宋体"/>
          <w:sz w:val="24"/>
          <w:szCs w:val="24"/>
        </w:rPr>
        <w:t>第三六条  本合同经双方签字（盖章）后生效。</w:t>
      </w:r>
    </w:p>
    <w:p>
      <w:pPr>
        <w:snapToGrid w:val="0"/>
        <w:rPr>
          <w:rFonts w:hint="eastAsia" w:ascii="宋体" w:hAnsi="宋体" w:cs="宋体"/>
          <w:sz w:val="24"/>
          <w:szCs w:val="24"/>
        </w:rPr>
      </w:pPr>
    </w:p>
    <w:p>
      <w:pPr>
        <w:snapToGrid w:val="0"/>
        <w:ind w:firstLine="480" w:firstLineChars="200"/>
        <w:rPr>
          <w:rFonts w:hint="eastAsia" w:ascii="宋体" w:hAnsi="宋体" w:cs="宋体"/>
          <w:sz w:val="24"/>
          <w:szCs w:val="24"/>
        </w:rPr>
      </w:pPr>
      <w:r>
        <w:rPr>
          <w:rFonts w:hint="eastAsia" w:ascii="宋体" w:hAnsi="宋体" w:cs="宋体"/>
          <w:sz w:val="24"/>
          <w:szCs w:val="24"/>
        </w:rPr>
        <w:t>甲方盖章：                       乙方盖章：</w:t>
      </w:r>
    </w:p>
    <w:p>
      <w:pPr>
        <w:snapToGrid w:val="0"/>
        <w:ind w:firstLine="480" w:firstLineChars="200"/>
        <w:rPr>
          <w:rFonts w:hint="eastAsia" w:ascii="宋体" w:hAnsi="宋体" w:cs="宋体"/>
          <w:sz w:val="24"/>
          <w:szCs w:val="24"/>
        </w:rPr>
      </w:pPr>
    </w:p>
    <w:p>
      <w:pPr>
        <w:snapToGrid w:val="0"/>
        <w:ind w:firstLine="480" w:firstLineChars="200"/>
        <w:rPr>
          <w:rFonts w:hint="eastAsia" w:ascii="宋体" w:hAnsi="宋体" w:cs="宋体"/>
          <w:sz w:val="24"/>
          <w:szCs w:val="24"/>
        </w:rPr>
      </w:pPr>
      <w:r>
        <w:rPr>
          <w:rFonts w:hint="eastAsia" w:ascii="宋体" w:hAnsi="宋体" w:cs="宋体"/>
          <w:sz w:val="24"/>
          <w:szCs w:val="24"/>
        </w:rPr>
        <w:t>法定代表人：                     法定代表人：</w:t>
      </w:r>
    </w:p>
    <w:p>
      <w:pPr>
        <w:snapToGrid w:val="0"/>
        <w:ind w:firstLine="480" w:firstLineChars="200"/>
        <w:rPr>
          <w:rFonts w:hint="eastAsia" w:ascii="宋体" w:hAnsi="宋体" w:cs="宋体"/>
          <w:sz w:val="24"/>
          <w:szCs w:val="24"/>
        </w:rPr>
      </w:pPr>
    </w:p>
    <w:p>
      <w:pPr>
        <w:snapToGrid w:val="0"/>
        <w:ind w:firstLine="480" w:firstLineChars="200"/>
        <w:rPr>
          <w:rFonts w:hint="eastAsia" w:ascii="宋体" w:hAnsi="宋体" w:cs="宋体"/>
          <w:sz w:val="24"/>
          <w:szCs w:val="24"/>
        </w:rPr>
      </w:pPr>
      <w:r>
        <w:rPr>
          <w:rFonts w:hint="eastAsia" w:ascii="宋体" w:hAnsi="宋体" w:cs="宋体"/>
          <w:sz w:val="24"/>
          <w:szCs w:val="24"/>
        </w:rPr>
        <w:t>授权委托人：                     授权委托人：</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 年  月  日                      年  月  日</w:t>
      </w:r>
    </w:p>
    <w:p>
      <w:pPr>
        <w:snapToGrid w:val="0"/>
        <w:rPr>
          <w:rFonts w:hint="eastAsia" w:ascii="宋体" w:hAnsi="宋体" w:cs="宋体"/>
          <w:sz w:val="24"/>
          <w:szCs w:val="24"/>
        </w:rPr>
      </w:pPr>
    </w:p>
    <w:p>
      <w:pPr>
        <w:pStyle w:val="16"/>
        <w:ind w:firstLine="480"/>
        <w:rPr>
          <w:rFonts w:hint="eastAsia" w:ascii="宋体" w:hAnsi="宋体" w:eastAsia="宋体" w:cs="宋体"/>
          <w:sz w:val="24"/>
          <w:szCs w:val="24"/>
        </w:rPr>
      </w:pPr>
    </w:p>
    <w:p>
      <w:pPr>
        <w:pStyle w:val="16"/>
        <w:ind w:firstLine="480"/>
        <w:rPr>
          <w:rFonts w:hint="eastAsia" w:ascii="宋体" w:hAnsi="宋体" w:eastAsia="宋体" w:cs="宋体"/>
          <w:sz w:val="24"/>
          <w:szCs w:val="24"/>
        </w:rPr>
      </w:pPr>
    </w:p>
    <w:p>
      <w:pPr>
        <w:pStyle w:val="16"/>
        <w:ind w:firstLine="480"/>
        <w:rPr>
          <w:rFonts w:hint="eastAsia" w:ascii="宋体" w:hAnsi="宋体" w:eastAsia="宋体" w:cs="宋体"/>
          <w:sz w:val="24"/>
          <w:szCs w:val="24"/>
        </w:rPr>
      </w:pPr>
    </w:p>
    <w:p>
      <w:pPr>
        <w:pStyle w:val="16"/>
        <w:ind w:firstLine="480"/>
        <w:rPr>
          <w:rFonts w:hint="eastAsia" w:ascii="宋体" w:hAnsi="宋体" w:eastAsia="宋体" w:cs="宋体"/>
          <w:sz w:val="24"/>
          <w:szCs w:val="24"/>
        </w:rPr>
      </w:pPr>
    </w:p>
    <w:p>
      <w:pPr>
        <w:pStyle w:val="16"/>
        <w:ind w:firstLine="480"/>
        <w:rPr>
          <w:rFonts w:hint="eastAsia" w:ascii="宋体" w:hAnsi="宋体" w:eastAsia="宋体" w:cs="宋体"/>
          <w:sz w:val="24"/>
          <w:szCs w:val="24"/>
        </w:rPr>
      </w:pPr>
    </w:p>
    <w:p>
      <w:pPr>
        <w:pStyle w:val="16"/>
        <w:ind w:firstLine="480"/>
        <w:rPr>
          <w:rFonts w:hint="eastAsia" w:ascii="宋体" w:hAnsi="宋体" w:eastAsia="宋体" w:cs="宋体"/>
          <w:sz w:val="24"/>
          <w:szCs w:val="24"/>
        </w:rPr>
      </w:pPr>
    </w:p>
    <w:p>
      <w:pPr>
        <w:pStyle w:val="16"/>
        <w:ind w:firstLine="480"/>
        <w:rPr>
          <w:rFonts w:hint="eastAsia" w:ascii="宋体" w:hAnsi="宋体" w:eastAsia="宋体" w:cs="宋体"/>
          <w:sz w:val="24"/>
          <w:szCs w:val="24"/>
        </w:rPr>
      </w:pPr>
    </w:p>
    <w:p>
      <w:pPr>
        <w:pStyle w:val="16"/>
        <w:ind w:firstLine="480"/>
        <w:rPr>
          <w:rFonts w:hint="eastAsia" w:ascii="宋体" w:hAnsi="宋体" w:eastAsia="宋体" w:cs="宋体"/>
          <w:sz w:val="24"/>
          <w:szCs w:val="24"/>
        </w:rPr>
      </w:pPr>
    </w:p>
    <w:p>
      <w:pPr>
        <w:pStyle w:val="16"/>
        <w:ind w:firstLine="480"/>
        <w:rPr>
          <w:rFonts w:hint="eastAsia" w:ascii="宋体" w:hAnsi="宋体" w:eastAsia="宋体" w:cs="宋体"/>
          <w:sz w:val="24"/>
          <w:szCs w:val="24"/>
        </w:rPr>
      </w:pPr>
    </w:p>
    <w:p>
      <w:pPr>
        <w:pStyle w:val="16"/>
        <w:ind w:firstLine="480"/>
        <w:rPr>
          <w:rFonts w:ascii="宋体" w:hAnsi="宋体" w:eastAsia="宋体" w:cs="宋体"/>
          <w:sz w:val="24"/>
          <w:szCs w:val="24"/>
        </w:rPr>
      </w:pPr>
    </w:p>
    <w:p>
      <w:pPr>
        <w:pStyle w:val="16"/>
        <w:ind w:firstLine="480"/>
        <w:rPr>
          <w:rFonts w:ascii="宋体" w:hAnsi="宋体" w:eastAsia="宋体" w:cs="宋体"/>
          <w:sz w:val="24"/>
          <w:szCs w:val="24"/>
        </w:rPr>
      </w:pPr>
    </w:p>
    <w:p>
      <w:pPr>
        <w:pStyle w:val="16"/>
        <w:ind w:firstLine="480"/>
        <w:rPr>
          <w:rFonts w:ascii="宋体" w:hAnsi="宋体" w:eastAsia="宋体" w:cs="宋体"/>
          <w:sz w:val="24"/>
          <w:szCs w:val="24"/>
        </w:rPr>
      </w:pPr>
    </w:p>
    <w:p>
      <w:pPr>
        <w:pStyle w:val="16"/>
        <w:ind w:firstLine="480"/>
        <w:rPr>
          <w:rFonts w:hint="eastAsia" w:ascii="宋体" w:hAnsi="宋体" w:eastAsia="宋体" w:cs="宋体"/>
          <w:sz w:val="24"/>
          <w:szCs w:val="24"/>
        </w:rPr>
      </w:pPr>
    </w:p>
    <w:p>
      <w:pPr>
        <w:pStyle w:val="16"/>
        <w:ind w:firstLine="480"/>
        <w:rPr>
          <w:rFonts w:hint="eastAsia" w:ascii="宋体" w:hAnsi="宋体" w:eastAsia="宋体" w:cs="宋体"/>
          <w:sz w:val="24"/>
          <w:szCs w:val="24"/>
        </w:rPr>
      </w:pPr>
    </w:p>
    <w:p>
      <w:pPr>
        <w:pStyle w:val="16"/>
        <w:ind w:firstLine="480"/>
        <w:rPr>
          <w:rFonts w:hint="eastAsia" w:ascii="宋体" w:hAnsi="宋体" w:eastAsia="宋体" w:cs="宋体"/>
          <w:sz w:val="24"/>
          <w:szCs w:val="24"/>
        </w:rPr>
      </w:pPr>
    </w:p>
    <w:p>
      <w:pPr>
        <w:pStyle w:val="16"/>
        <w:ind w:firstLine="480"/>
        <w:rPr>
          <w:rFonts w:hint="eastAsia" w:ascii="宋体" w:hAnsi="宋体" w:eastAsia="宋体" w:cs="宋体"/>
          <w:sz w:val="24"/>
          <w:szCs w:val="24"/>
        </w:rPr>
      </w:pPr>
    </w:p>
    <w:p>
      <w:pPr>
        <w:pStyle w:val="16"/>
        <w:ind w:firstLine="480"/>
        <w:rPr>
          <w:rFonts w:hint="eastAsia" w:ascii="宋体" w:hAnsi="宋体" w:eastAsia="宋体" w:cs="宋体"/>
          <w:sz w:val="24"/>
          <w:szCs w:val="24"/>
        </w:rPr>
      </w:pPr>
    </w:p>
    <w:p>
      <w:pPr>
        <w:pStyle w:val="16"/>
        <w:ind w:firstLine="480"/>
        <w:rPr>
          <w:rFonts w:hint="eastAsia" w:ascii="宋体" w:hAnsi="宋体" w:eastAsia="宋体" w:cs="宋体"/>
          <w:sz w:val="24"/>
          <w:szCs w:val="24"/>
        </w:rPr>
      </w:pPr>
    </w:p>
    <w:p>
      <w:pPr>
        <w:snapToGrid w:val="0"/>
        <w:ind w:firstLine="480" w:firstLineChars="200"/>
        <w:rPr>
          <w:rFonts w:hint="eastAsia" w:ascii="宋体" w:hAnsi="宋体" w:cs="宋体"/>
          <w:sz w:val="24"/>
          <w:szCs w:val="24"/>
        </w:rPr>
      </w:pPr>
      <w:r>
        <w:rPr>
          <w:rFonts w:hint="eastAsia" w:ascii="宋体" w:hAnsi="宋体" w:cs="宋体"/>
          <w:sz w:val="24"/>
          <w:szCs w:val="24"/>
        </w:rPr>
        <w:t>附件一：</w:t>
      </w:r>
    </w:p>
    <w:p>
      <w:pPr>
        <w:snapToGrid w:val="0"/>
        <w:ind w:firstLine="480" w:firstLineChars="200"/>
        <w:rPr>
          <w:rFonts w:hint="eastAsia" w:ascii="宋体" w:hAnsi="宋体" w:cs="宋体"/>
          <w:sz w:val="24"/>
          <w:szCs w:val="24"/>
        </w:rPr>
      </w:pPr>
      <w:r>
        <w:rPr>
          <w:rFonts w:hint="eastAsia" w:ascii="宋体" w:hAnsi="宋体" w:cs="宋体"/>
          <w:sz w:val="24"/>
          <w:szCs w:val="24"/>
        </w:rPr>
        <w:t>物业规划总平面图</w:t>
      </w:r>
    </w:p>
    <w:p>
      <w:pPr>
        <w:snapToGrid w:val="0"/>
        <w:ind w:firstLine="470" w:firstLineChars="196"/>
        <w:rPr>
          <w:rFonts w:hint="eastAsia" w:ascii="宋体" w:hAnsi="宋体" w:cs="宋体"/>
          <w:sz w:val="24"/>
          <w:szCs w:val="24"/>
        </w:rPr>
      </w:pPr>
      <w:r>
        <w:rPr>
          <w:rFonts w:hint="eastAsia" w:ascii="宋体" w:hAnsi="宋体" w:cs="宋体"/>
          <w:sz w:val="24"/>
          <w:szCs w:val="24"/>
        </w:rPr>
        <w:t xml:space="preserve">附件二 ：   </w:t>
      </w:r>
    </w:p>
    <w:p>
      <w:pPr>
        <w:snapToGrid w:val="0"/>
        <w:ind w:firstLine="480" w:firstLineChars="200"/>
        <w:rPr>
          <w:rFonts w:hint="eastAsia" w:ascii="宋体" w:hAnsi="宋体" w:cs="宋体"/>
          <w:sz w:val="24"/>
          <w:szCs w:val="24"/>
        </w:rPr>
      </w:pPr>
      <w:r>
        <w:rPr>
          <w:rFonts w:hint="eastAsia" w:ascii="宋体" w:hAnsi="宋体" w:cs="宋体"/>
          <w:sz w:val="24"/>
          <w:szCs w:val="24"/>
        </w:rPr>
        <w:t>物业构成细目</w:t>
      </w:r>
    </w:p>
    <w:p>
      <w:pPr>
        <w:snapToGrid w:val="0"/>
        <w:ind w:firstLine="480" w:firstLineChars="200"/>
        <w:rPr>
          <w:rFonts w:hint="eastAsia" w:ascii="宋体" w:hAnsi="宋体" w:cs="宋体"/>
          <w:sz w:val="24"/>
          <w:szCs w:val="24"/>
        </w:rPr>
      </w:pPr>
      <w:r>
        <w:rPr>
          <w:rFonts w:hint="eastAsia" w:ascii="宋体" w:hAnsi="宋体" w:cs="宋体"/>
          <w:sz w:val="24"/>
          <w:szCs w:val="24"/>
        </w:rPr>
        <w:t>（一）面积</w:t>
      </w:r>
    </w:p>
    <w:p>
      <w:pPr>
        <w:snapToGrid w:val="0"/>
        <w:ind w:firstLine="480" w:firstLineChars="200"/>
        <w:rPr>
          <w:rFonts w:hint="eastAsia" w:ascii="宋体" w:hAnsi="宋体" w:cs="宋体"/>
          <w:sz w:val="24"/>
          <w:szCs w:val="24"/>
        </w:rPr>
      </w:pPr>
      <w:r>
        <w:rPr>
          <w:rFonts w:hint="eastAsia" w:ascii="宋体" w:hAnsi="宋体" w:cs="宋体"/>
          <w:sz w:val="24"/>
          <w:szCs w:val="24"/>
        </w:rPr>
        <w:t>净用地面积：                 ；</w:t>
      </w:r>
    </w:p>
    <w:p>
      <w:pPr>
        <w:snapToGrid w:val="0"/>
        <w:ind w:firstLine="480" w:firstLineChars="200"/>
        <w:rPr>
          <w:rFonts w:hint="eastAsia" w:ascii="宋体" w:hAnsi="宋体" w:cs="宋体"/>
          <w:sz w:val="24"/>
          <w:szCs w:val="24"/>
        </w:rPr>
      </w:pPr>
      <w:r>
        <w:rPr>
          <w:rFonts w:hint="eastAsia" w:ascii="宋体" w:hAnsi="宋体" w:cs="宋体"/>
          <w:sz w:val="24"/>
          <w:szCs w:val="24"/>
        </w:rPr>
        <w:t>道路广场面积：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总建筑面积：                 ； </w:t>
      </w:r>
    </w:p>
    <w:p>
      <w:pPr>
        <w:snapToGrid w:val="0"/>
        <w:ind w:firstLine="480" w:firstLineChars="200"/>
        <w:rPr>
          <w:rFonts w:hint="eastAsia" w:ascii="宋体" w:hAnsi="宋体" w:cs="宋体"/>
          <w:sz w:val="24"/>
          <w:szCs w:val="24"/>
        </w:rPr>
      </w:pPr>
      <w:r>
        <w:rPr>
          <w:rFonts w:hint="eastAsia" w:ascii="宋体" w:hAnsi="宋体" w:cs="宋体"/>
          <w:sz w:val="24"/>
          <w:szCs w:val="24"/>
        </w:rPr>
        <w:t>地上建筑面积：               ；</w:t>
      </w:r>
    </w:p>
    <w:p>
      <w:pPr>
        <w:snapToGrid w:val="0"/>
        <w:ind w:firstLine="480" w:firstLineChars="200"/>
        <w:rPr>
          <w:rFonts w:hint="eastAsia" w:ascii="宋体" w:hAnsi="宋体" w:cs="宋体"/>
          <w:sz w:val="24"/>
          <w:szCs w:val="24"/>
        </w:rPr>
      </w:pPr>
      <w:r>
        <w:rPr>
          <w:rFonts w:hint="eastAsia" w:ascii="宋体" w:hAnsi="宋体" w:cs="宋体"/>
          <w:sz w:val="24"/>
          <w:szCs w:val="24"/>
        </w:rPr>
        <w:t>地下建筑面积：               ；</w:t>
      </w:r>
    </w:p>
    <w:p>
      <w:pPr>
        <w:snapToGrid w:val="0"/>
        <w:ind w:firstLine="480" w:firstLineChars="200"/>
        <w:rPr>
          <w:rFonts w:hint="eastAsia" w:ascii="宋体" w:hAnsi="宋体" w:cs="宋体"/>
          <w:sz w:val="24"/>
          <w:szCs w:val="24"/>
        </w:rPr>
      </w:pPr>
      <w:r>
        <w:rPr>
          <w:rFonts w:hint="eastAsia" w:ascii="宋体" w:hAnsi="宋体" w:cs="宋体"/>
          <w:sz w:val="24"/>
          <w:szCs w:val="24"/>
        </w:rPr>
        <w:t>建筑基底面积：               ；</w:t>
      </w:r>
    </w:p>
    <w:p>
      <w:pPr>
        <w:snapToGrid w:val="0"/>
        <w:ind w:firstLine="480" w:firstLineChars="200"/>
        <w:rPr>
          <w:rFonts w:hint="eastAsia" w:ascii="宋体" w:hAnsi="宋体" w:cs="宋体"/>
          <w:sz w:val="24"/>
          <w:szCs w:val="24"/>
        </w:rPr>
      </w:pPr>
      <w:r>
        <w:rPr>
          <w:rFonts w:hint="eastAsia" w:ascii="宋体" w:hAnsi="宋体" w:cs="宋体"/>
          <w:sz w:val="24"/>
          <w:szCs w:val="24"/>
        </w:rPr>
        <w:t>总栋数：1.多层          ；2.高层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3.商业          ；4.配套用房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建筑高度：              </w:t>
      </w:r>
    </w:p>
    <w:p>
      <w:pPr>
        <w:snapToGrid w:val="0"/>
        <w:ind w:firstLine="480" w:firstLineChars="200"/>
        <w:rPr>
          <w:rFonts w:hint="eastAsia" w:ascii="宋体" w:hAnsi="宋体" w:cs="宋体"/>
          <w:sz w:val="24"/>
          <w:szCs w:val="24"/>
        </w:rPr>
      </w:pPr>
      <w:r>
        <w:rPr>
          <w:rFonts w:hint="eastAsia" w:ascii="宋体" w:hAnsi="宋体" w:cs="宋体"/>
          <w:sz w:val="24"/>
          <w:szCs w:val="24"/>
        </w:rPr>
        <w:t>1.多层          ；2.高层           ；</w:t>
      </w:r>
    </w:p>
    <w:p>
      <w:pPr>
        <w:snapToGrid w:val="0"/>
        <w:ind w:firstLine="480" w:firstLineChars="200"/>
        <w:rPr>
          <w:rFonts w:hint="eastAsia" w:ascii="宋体" w:hAnsi="宋体" w:cs="宋体"/>
          <w:sz w:val="24"/>
          <w:szCs w:val="24"/>
        </w:rPr>
      </w:pPr>
      <w:r>
        <w:rPr>
          <w:rFonts w:hint="eastAsia" w:ascii="宋体" w:hAnsi="宋体" w:cs="宋体"/>
          <w:sz w:val="24"/>
          <w:szCs w:val="24"/>
        </w:rPr>
        <w:t>3.商业          ；4.配套用房       ；</w:t>
      </w:r>
    </w:p>
    <w:p>
      <w:pPr>
        <w:snapToGrid w:val="0"/>
        <w:ind w:firstLine="480" w:firstLineChars="200"/>
        <w:rPr>
          <w:rFonts w:hint="eastAsia" w:ascii="宋体" w:hAnsi="宋体" w:cs="宋体"/>
          <w:sz w:val="24"/>
          <w:szCs w:val="24"/>
        </w:rPr>
      </w:pPr>
      <w:r>
        <w:rPr>
          <w:rFonts w:hint="eastAsia" w:ascii="宋体" w:hAnsi="宋体" w:cs="宋体"/>
          <w:sz w:val="24"/>
          <w:szCs w:val="24"/>
        </w:rPr>
        <w:t>建筑结构：              ；</w:t>
      </w:r>
    </w:p>
    <w:p>
      <w:pPr>
        <w:snapToGrid w:val="0"/>
        <w:ind w:firstLine="480" w:firstLineChars="200"/>
        <w:rPr>
          <w:rFonts w:hint="eastAsia" w:ascii="宋体" w:hAnsi="宋体" w:cs="宋体"/>
          <w:sz w:val="24"/>
          <w:szCs w:val="24"/>
        </w:rPr>
      </w:pPr>
      <w:r>
        <w:rPr>
          <w:rFonts w:hint="eastAsia" w:ascii="宋体" w:hAnsi="宋体" w:cs="宋体"/>
          <w:sz w:val="24"/>
          <w:szCs w:val="24"/>
        </w:rPr>
        <w:t>抗震设防烈度：          ；</w:t>
      </w:r>
    </w:p>
    <w:p>
      <w:pPr>
        <w:snapToGrid w:val="0"/>
        <w:ind w:firstLine="480" w:firstLineChars="200"/>
        <w:rPr>
          <w:rFonts w:hint="eastAsia" w:ascii="宋体" w:hAnsi="宋体" w:cs="宋体"/>
          <w:sz w:val="24"/>
          <w:szCs w:val="24"/>
        </w:rPr>
      </w:pPr>
      <w:r>
        <w:rPr>
          <w:rFonts w:hint="eastAsia" w:ascii="宋体" w:hAnsi="宋体" w:cs="宋体"/>
          <w:sz w:val="24"/>
          <w:szCs w:val="24"/>
        </w:rPr>
        <w:t>建筑密度：              ；</w:t>
      </w:r>
    </w:p>
    <w:p>
      <w:pPr>
        <w:snapToGrid w:val="0"/>
        <w:ind w:firstLine="480" w:firstLineChars="200"/>
        <w:rPr>
          <w:rFonts w:hint="eastAsia" w:ascii="宋体" w:hAnsi="宋体" w:cs="宋体"/>
          <w:sz w:val="24"/>
          <w:szCs w:val="24"/>
        </w:rPr>
      </w:pPr>
      <w:r>
        <w:rPr>
          <w:rFonts w:hint="eastAsia" w:ascii="宋体" w:hAnsi="宋体" w:cs="宋体"/>
          <w:sz w:val="24"/>
          <w:szCs w:val="24"/>
        </w:rPr>
        <w:t>容积率：                ；</w:t>
      </w:r>
    </w:p>
    <w:p>
      <w:pPr>
        <w:snapToGrid w:val="0"/>
        <w:ind w:firstLine="480" w:firstLineChars="200"/>
        <w:rPr>
          <w:rFonts w:hint="eastAsia" w:ascii="宋体" w:hAnsi="宋体" w:cs="宋体"/>
          <w:sz w:val="24"/>
          <w:szCs w:val="24"/>
        </w:rPr>
      </w:pPr>
      <w:r>
        <w:rPr>
          <w:rFonts w:hint="eastAsia" w:ascii="宋体" w:hAnsi="宋体" w:cs="宋体"/>
          <w:sz w:val="24"/>
          <w:szCs w:val="24"/>
        </w:rPr>
        <w:t>绿地率：                ；</w:t>
      </w:r>
    </w:p>
    <w:p>
      <w:pPr>
        <w:snapToGrid w:val="0"/>
        <w:ind w:firstLine="480" w:firstLineChars="200"/>
        <w:rPr>
          <w:rFonts w:hint="eastAsia" w:ascii="宋体" w:hAnsi="宋体" w:cs="宋体"/>
          <w:sz w:val="24"/>
          <w:szCs w:val="24"/>
        </w:rPr>
      </w:pPr>
      <w:r>
        <w:rPr>
          <w:rFonts w:hint="eastAsia" w:ascii="宋体" w:hAnsi="宋体" w:cs="宋体"/>
          <w:sz w:val="24"/>
          <w:szCs w:val="24"/>
        </w:rPr>
        <w:t>机动车停车位：地上（     个），地下（    个）；</w:t>
      </w:r>
    </w:p>
    <w:p>
      <w:pPr>
        <w:snapToGrid w:val="0"/>
        <w:ind w:firstLine="480" w:firstLineChars="200"/>
        <w:rPr>
          <w:rFonts w:hint="eastAsia" w:ascii="宋体" w:hAnsi="宋体" w:cs="宋体"/>
          <w:sz w:val="24"/>
          <w:szCs w:val="24"/>
        </w:rPr>
      </w:pPr>
      <w:r>
        <w:rPr>
          <w:rFonts w:hint="eastAsia" w:ascii="宋体" w:hAnsi="宋体" w:cs="宋体"/>
          <w:sz w:val="24"/>
          <w:szCs w:val="24"/>
        </w:rPr>
        <w:t>非机动车停车库（位）：                      。</w:t>
      </w:r>
    </w:p>
    <w:p>
      <w:pPr>
        <w:snapToGrid w:val="0"/>
        <w:ind w:firstLine="480" w:firstLineChars="200"/>
        <w:rPr>
          <w:rFonts w:hint="eastAsia" w:ascii="宋体" w:hAnsi="宋体" w:cs="宋体"/>
          <w:sz w:val="24"/>
          <w:szCs w:val="24"/>
        </w:rPr>
      </w:pPr>
      <w:r>
        <w:rPr>
          <w:rFonts w:hint="eastAsia" w:ascii="宋体" w:hAnsi="宋体" w:cs="宋体"/>
          <w:sz w:val="24"/>
          <w:szCs w:val="24"/>
        </w:rPr>
        <w:t>（二）共用部位</w:t>
      </w:r>
    </w:p>
    <w:p>
      <w:pPr>
        <w:snapToGrid w:val="0"/>
        <w:ind w:firstLine="480" w:firstLineChars="200"/>
        <w:rPr>
          <w:rFonts w:hint="eastAsia" w:ascii="宋体" w:hAnsi="宋体" w:cs="宋体"/>
          <w:sz w:val="24"/>
          <w:szCs w:val="24"/>
        </w:rPr>
      </w:pPr>
      <w:r>
        <w:rPr>
          <w:rFonts w:hint="eastAsia" w:ascii="宋体" w:hAnsi="宋体" w:cs="宋体"/>
          <w:sz w:val="24"/>
          <w:szCs w:val="24"/>
        </w:rPr>
        <w:t>房屋承重结构：                  ；</w:t>
      </w:r>
    </w:p>
    <w:p>
      <w:pPr>
        <w:snapToGrid w:val="0"/>
        <w:ind w:firstLine="480" w:firstLineChars="200"/>
        <w:rPr>
          <w:rFonts w:hint="eastAsia" w:ascii="宋体" w:hAnsi="宋体" w:cs="宋体"/>
          <w:sz w:val="24"/>
          <w:szCs w:val="24"/>
        </w:rPr>
      </w:pPr>
      <w:r>
        <w:rPr>
          <w:rFonts w:hint="eastAsia" w:ascii="宋体" w:hAnsi="宋体" w:cs="宋体"/>
          <w:sz w:val="24"/>
          <w:szCs w:val="24"/>
        </w:rPr>
        <w:t>房屋主体结构：                  ；</w:t>
      </w:r>
    </w:p>
    <w:p>
      <w:pPr>
        <w:snapToGrid w:val="0"/>
        <w:ind w:firstLine="480" w:firstLineChars="200"/>
        <w:rPr>
          <w:rFonts w:hint="eastAsia" w:ascii="宋体" w:hAnsi="宋体" w:cs="宋体"/>
          <w:sz w:val="24"/>
          <w:szCs w:val="24"/>
        </w:rPr>
      </w:pPr>
      <w:r>
        <w:rPr>
          <w:rFonts w:hint="eastAsia" w:ascii="宋体" w:hAnsi="宋体" w:cs="宋体"/>
          <w:sz w:val="24"/>
          <w:szCs w:val="24"/>
        </w:rPr>
        <w:t>公共门厅：                      ；</w:t>
      </w:r>
    </w:p>
    <w:p>
      <w:pPr>
        <w:snapToGrid w:val="0"/>
        <w:ind w:firstLine="480" w:firstLineChars="200"/>
        <w:rPr>
          <w:rFonts w:hint="eastAsia" w:ascii="宋体" w:hAnsi="宋体" w:cs="宋体"/>
          <w:sz w:val="24"/>
          <w:szCs w:val="24"/>
        </w:rPr>
      </w:pPr>
      <w:r>
        <w:rPr>
          <w:rFonts w:hint="eastAsia" w:ascii="宋体" w:hAnsi="宋体" w:cs="宋体"/>
          <w:sz w:val="24"/>
          <w:szCs w:val="24"/>
        </w:rPr>
        <w:t>公共走廊：                      ；</w:t>
      </w:r>
    </w:p>
    <w:p>
      <w:pPr>
        <w:snapToGrid w:val="0"/>
        <w:ind w:firstLine="480" w:firstLineChars="200"/>
        <w:rPr>
          <w:rFonts w:hint="eastAsia" w:ascii="宋体" w:hAnsi="宋体" w:cs="宋体"/>
          <w:sz w:val="24"/>
          <w:szCs w:val="24"/>
        </w:rPr>
      </w:pPr>
      <w:r>
        <w:rPr>
          <w:rFonts w:hint="eastAsia" w:ascii="宋体" w:hAnsi="宋体" w:cs="宋体"/>
          <w:sz w:val="24"/>
          <w:szCs w:val="24"/>
        </w:rPr>
        <w:t>公共楼梯间：                    ；</w:t>
      </w:r>
    </w:p>
    <w:p>
      <w:pPr>
        <w:snapToGrid w:val="0"/>
        <w:ind w:firstLine="480" w:firstLineChars="200"/>
        <w:rPr>
          <w:rFonts w:hint="eastAsia" w:ascii="宋体" w:hAnsi="宋体" w:cs="宋体"/>
          <w:sz w:val="24"/>
          <w:szCs w:val="24"/>
        </w:rPr>
      </w:pPr>
      <w:r>
        <w:rPr>
          <w:rFonts w:hint="eastAsia" w:ascii="宋体" w:hAnsi="宋体" w:cs="宋体"/>
          <w:sz w:val="24"/>
          <w:szCs w:val="24"/>
        </w:rPr>
        <w:t>内天井：                        ；</w:t>
      </w:r>
    </w:p>
    <w:p>
      <w:pPr>
        <w:snapToGrid w:val="0"/>
        <w:ind w:firstLine="480" w:firstLineChars="200"/>
        <w:rPr>
          <w:rFonts w:hint="eastAsia" w:ascii="宋体" w:hAnsi="宋体" w:cs="宋体"/>
          <w:sz w:val="24"/>
          <w:szCs w:val="24"/>
        </w:rPr>
      </w:pPr>
      <w:r>
        <w:rPr>
          <w:rFonts w:hint="eastAsia" w:ascii="宋体" w:hAnsi="宋体" w:cs="宋体"/>
          <w:sz w:val="24"/>
          <w:szCs w:val="24"/>
        </w:rPr>
        <w:t>户外墙面：                      ；</w:t>
      </w:r>
    </w:p>
    <w:p>
      <w:pPr>
        <w:snapToGrid w:val="0"/>
        <w:ind w:firstLine="480" w:firstLineChars="200"/>
        <w:rPr>
          <w:rFonts w:hint="eastAsia" w:ascii="宋体" w:hAnsi="宋体" w:cs="宋体"/>
          <w:sz w:val="24"/>
          <w:szCs w:val="24"/>
        </w:rPr>
      </w:pPr>
      <w:r>
        <w:rPr>
          <w:rFonts w:hint="eastAsia" w:ascii="宋体" w:hAnsi="宋体" w:cs="宋体"/>
          <w:sz w:val="24"/>
          <w:szCs w:val="24"/>
        </w:rPr>
        <w:t>屋面：                          ；</w:t>
      </w:r>
    </w:p>
    <w:p>
      <w:pPr>
        <w:snapToGrid w:val="0"/>
        <w:ind w:firstLine="480" w:firstLineChars="200"/>
        <w:rPr>
          <w:rFonts w:hint="eastAsia" w:ascii="宋体" w:hAnsi="宋体" w:cs="宋体"/>
          <w:sz w:val="24"/>
          <w:szCs w:val="24"/>
        </w:rPr>
      </w:pPr>
      <w:r>
        <w:rPr>
          <w:rFonts w:hint="eastAsia" w:ascii="宋体" w:hAnsi="宋体" w:cs="宋体"/>
          <w:sz w:val="24"/>
          <w:szCs w:val="24"/>
        </w:rPr>
        <w:t>扶手护栏：                      ；</w:t>
      </w:r>
    </w:p>
    <w:p>
      <w:pPr>
        <w:snapToGrid w:val="0"/>
        <w:ind w:firstLine="480" w:firstLineChars="200"/>
        <w:rPr>
          <w:rFonts w:hint="eastAsia" w:ascii="宋体" w:hAnsi="宋体" w:cs="宋体"/>
          <w:sz w:val="24"/>
          <w:szCs w:val="24"/>
        </w:rPr>
      </w:pPr>
      <w:r>
        <w:rPr>
          <w:rFonts w:hint="eastAsia" w:ascii="宋体" w:hAnsi="宋体" w:cs="宋体"/>
          <w:sz w:val="24"/>
          <w:szCs w:val="24"/>
        </w:rPr>
        <w:t>电梯井道：                      ；</w:t>
      </w:r>
    </w:p>
    <w:p>
      <w:pPr>
        <w:snapToGrid w:val="0"/>
        <w:ind w:firstLine="480" w:firstLineChars="200"/>
        <w:rPr>
          <w:rFonts w:hint="eastAsia" w:ascii="宋体" w:hAnsi="宋体" w:cs="宋体"/>
          <w:sz w:val="24"/>
          <w:szCs w:val="24"/>
        </w:rPr>
      </w:pPr>
      <w:r>
        <w:rPr>
          <w:rFonts w:hint="eastAsia" w:ascii="宋体" w:hAnsi="宋体" w:cs="宋体"/>
          <w:sz w:val="24"/>
          <w:szCs w:val="24"/>
        </w:rPr>
        <w:t>架空层：                        ；</w:t>
      </w:r>
    </w:p>
    <w:p>
      <w:pPr>
        <w:snapToGrid w:val="0"/>
        <w:ind w:firstLine="480" w:firstLineChars="200"/>
        <w:rPr>
          <w:rFonts w:hint="eastAsia" w:ascii="宋体" w:hAnsi="宋体" w:cs="宋体"/>
          <w:sz w:val="24"/>
          <w:szCs w:val="24"/>
        </w:rPr>
      </w:pPr>
      <w:r>
        <w:rPr>
          <w:rFonts w:hint="eastAsia" w:ascii="宋体" w:hAnsi="宋体" w:cs="宋体"/>
          <w:sz w:val="24"/>
          <w:szCs w:val="24"/>
        </w:rPr>
        <w:t>设备间：                        。</w:t>
      </w:r>
    </w:p>
    <w:p>
      <w:pPr>
        <w:snapToGrid w:val="0"/>
        <w:ind w:firstLine="480" w:firstLineChars="200"/>
        <w:rPr>
          <w:rFonts w:hint="eastAsia" w:ascii="宋体" w:hAnsi="宋体" w:cs="宋体"/>
          <w:sz w:val="24"/>
          <w:szCs w:val="24"/>
        </w:rPr>
      </w:pPr>
      <w:r>
        <w:rPr>
          <w:rFonts w:hint="eastAsia" w:ascii="宋体" w:hAnsi="宋体" w:cs="宋体"/>
          <w:sz w:val="24"/>
          <w:szCs w:val="24"/>
        </w:rPr>
        <w:t>（三）共用设施设备</w:t>
      </w:r>
    </w:p>
    <w:p>
      <w:pPr>
        <w:snapToGrid w:val="0"/>
        <w:ind w:firstLine="480" w:firstLineChars="200"/>
        <w:rPr>
          <w:rFonts w:hint="eastAsia" w:ascii="宋体" w:hAnsi="宋体" w:cs="宋体"/>
          <w:sz w:val="24"/>
          <w:szCs w:val="24"/>
        </w:rPr>
      </w:pPr>
      <w:r>
        <w:rPr>
          <w:rFonts w:hint="eastAsia" w:ascii="宋体" w:hAnsi="宋体" w:cs="宋体"/>
          <w:sz w:val="24"/>
          <w:szCs w:val="24"/>
        </w:rPr>
        <w:t>消防设施：                      ；</w:t>
      </w:r>
    </w:p>
    <w:p>
      <w:pPr>
        <w:snapToGrid w:val="0"/>
        <w:ind w:firstLine="480" w:firstLineChars="200"/>
        <w:rPr>
          <w:rFonts w:hint="eastAsia" w:ascii="宋体" w:hAnsi="宋体" w:cs="宋体"/>
          <w:sz w:val="24"/>
          <w:szCs w:val="24"/>
        </w:rPr>
      </w:pPr>
      <w:r>
        <w:rPr>
          <w:rFonts w:hint="eastAsia" w:ascii="宋体" w:hAnsi="宋体" w:cs="宋体"/>
          <w:sz w:val="24"/>
          <w:szCs w:val="24"/>
        </w:rPr>
        <w:t>监控设施：                      ；</w:t>
      </w:r>
    </w:p>
    <w:p>
      <w:pPr>
        <w:snapToGrid w:val="0"/>
        <w:ind w:firstLine="480" w:firstLineChars="200"/>
        <w:rPr>
          <w:rFonts w:hint="eastAsia" w:ascii="宋体" w:hAnsi="宋体" w:cs="宋体"/>
          <w:sz w:val="24"/>
          <w:szCs w:val="24"/>
        </w:rPr>
      </w:pPr>
      <w:r>
        <w:rPr>
          <w:rFonts w:hint="eastAsia" w:ascii="宋体" w:hAnsi="宋体" w:cs="宋体"/>
          <w:sz w:val="24"/>
          <w:szCs w:val="24"/>
        </w:rPr>
        <w:t>避雷设施：                      ；</w:t>
      </w:r>
    </w:p>
    <w:p>
      <w:pPr>
        <w:snapToGrid w:val="0"/>
        <w:ind w:firstLine="480" w:firstLineChars="200"/>
        <w:rPr>
          <w:rFonts w:hint="eastAsia" w:ascii="宋体" w:hAnsi="宋体" w:cs="宋体"/>
          <w:sz w:val="24"/>
          <w:szCs w:val="24"/>
        </w:rPr>
      </w:pPr>
      <w:r>
        <w:rPr>
          <w:rFonts w:hint="eastAsia" w:ascii="宋体" w:hAnsi="宋体" w:cs="宋体"/>
          <w:sz w:val="24"/>
          <w:szCs w:val="24"/>
        </w:rPr>
        <w:t>人防设施：                      ；</w:t>
      </w:r>
    </w:p>
    <w:p>
      <w:pPr>
        <w:snapToGrid w:val="0"/>
        <w:ind w:firstLine="480" w:firstLineChars="200"/>
        <w:rPr>
          <w:rFonts w:hint="eastAsia" w:ascii="宋体" w:hAnsi="宋体" w:cs="宋体"/>
          <w:sz w:val="24"/>
          <w:szCs w:val="24"/>
        </w:rPr>
      </w:pPr>
      <w:r>
        <w:rPr>
          <w:rFonts w:hint="eastAsia" w:ascii="宋体" w:hAnsi="宋体" w:cs="宋体"/>
          <w:sz w:val="24"/>
          <w:szCs w:val="24"/>
        </w:rPr>
        <w:t>垃圾转运设施：                  ；</w:t>
      </w:r>
    </w:p>
    <w:p>
      <w:pPr>
        <w:snapToGrid w:val="0"/>
        <w:ind w:firstLine="480" w:firstLineChars="200"/>
        <w:rPr>
          <w:rFonts w:hint="eastAsia" w:ascii="宋体" w:hAnsi="宋体" w:cs="宋体"/>
          <w:sz w:val="24"/>
          <w:szCs w:val="24"/>
        </w:rPr>
      </w:pPr>
      <w:r>
        <w:rPr>
          <w:rFonts w:hint="eastAsia" w:ascii="宋体" w:hAnsi="宋体" w:cs="宋体"/>
          <w:sz w:val="24"/>
          <w:szCs w:val="24"/>
        </w:rPr>
        <w:t>电梯：                        部；</w:t>
      </w:r>
    </w:p>
    <w:p>
      <w:pPr>
        <w:snapToGrid w:val="0"/>
        <w:ind w:firstLine="480" w:firstLineChars="200"/>
        <w:rPr>
          <w:rFonts w:hint="eastAsia" w:ascii="宋体" w:hAnsi="宋体" w:cs="宋体"/>
          <w:sz w:val="24"/>
          <w:szCs w:val="24"/>
        </w:rPr>
      </w:pPr>
      <w:r>
        <w:rPr>
          <w:rFonts w:hint="eastAsia" w:ascii="宋体" w:hAnsi="宋体" w:cs="宋体"/>
          <w:sz w:val="24"/>
          <w:szCs w:val="24"/>
        </w:rPr>
        <w:t>污水处理站：                  座；</w:t>
      </w:r>
    </w:p>
    <w:p>
      <w:pPr>
        <w:snapToGrid w:val="0"/>
        <w:ind w:firstLine="480" w:firstLineChars="200"/>
        <w:rPr>
          <w:rFonts w:hint="eastAsia" w:ascii="宋体" w:hAnsi="宋体" w:cs="宋体"/>
          <w:sz w:val="24"/>
          <w:szCs w:val="24"/>
        </w:rPr>
      </w:pPr>
      <w:r>
        <w:rPr>
          <w:rFonts w:hint="eastAsia" w:ascii="宋体" w:hAnsi="宋体" w:cs="宋体"/>
          <w:sz w:val="24"/>
          <w:szCs w:val="24"/>
        </w:rPr>
        <w:t>单元路灯：                    只；</w:t>
      </w:r>
    </w:p>
    <w:p>
      <w:pPr>
        <w:snapToGrid w:val="0"/>
        <w:ind w:firstLine="480" w:firstLineChars="200"/>
        <w:rPr>
          <w:rFonts w:hint="eastAsia" w:ascii="宋体" w:hAnsi="宋体" w:cs="宋体"/>
          <w:sz w:val="24"/>
          <w:szCs w:val="24"/>
        </w:rPr>
      </w:pPr>
      <w:r>
        <w:rPr>
          <w:rFonts w:hint="eastAsia" w:ascii="宋体" w:hAnsi="宋体" w:cs="宋体"/>
          <w:sz w:val="24"/>
          <w:szCs w:val="24"/>
        </w:rPr>
        <w:t>单元电表箱：                  只；</w:t>
      </w:r>
    </w:p>
    <w:p>
      <w:pPr>
        <w:snapToGrid w:val="0"/>
        <w:ind w:firstLine="480" w:firstLineChars="200"/>
        <w:rPr>
          <w:rFonts w:hint="eastAsia" w:ascii="宋体" w:hAnsi="宋体" w:cs="宋体"/>
          <w:sz w:val="24"/>
          <w:szCs w:val="24"/>
        </w:rPr>
      </w:pPr>
      <w:r>
        <w:rPr>
          <w:rFonts w:hint="eastAsia" w:ascii="宋体" w:hAnsi="宋体" w:cs="宋体"/>
          <w:sz w:val="24"/>
          <w:szCs w:val="24"/>
        </w:rPr>
        <w:t>栋号配电箱：                  只；</w:t>
      </w:r>
    </w:p>
    <w:p>
      <w:pPr>
        <w:snapToGrid w:val="0"/>
        <w:ind w:firstLine="480" w:firstLineChars="200"/>
        <w:rPr>
          <w:rFonts w:hint="eastAsia" w:ascii="宋体" w:hAnsi="宋体" w:cs="宋体"/>
          <w:sz w:val="24"/>
          <w:szCs w:val="24"/>
        </w:rPr>
      </w:pPr>
      <w:r>
        <w:rPr>
          <w:rFonts w:hint="eastAsia" w:ascii="宋体" w:hAnsi="宋体" w:cs="宋体"/>
          <w:sz w:val="24"/>
          <w:szCs w:val="24"/>
        </w:rPr>
        <w:t>单元对讲防盗门：              套；</w:t>
      </w:r>
    </w:p>
    <w:p>
      <w:pPr>
        <w:snapToGrid w:val="0"/>
        <w:ind w:firstLine="480" w:firstLineChars="200"/>
        <w:rPr>
          <w:rFonts w:hint="eastAsia" w:ascii="宋体" w:hAnsi="宋体" w:cs="宋体"/>
          <w:sz w:val="24"/>
          <w:szCs w:val="24"/>
        </w:rPr>
      </w:pPr>
      <w:r>
        <w:rPr>
          <w:rFonts w:hint="eastAsia" w:ascii="宋体" w:hAnsi="宋体" w:cs="宋体"/>
          <w:sz w:val="24"/>
          <w:szCs w:val="24"/>
        </w:rPr>
        <w:t>主干道路（5米以上）：          米；</w:t>
      </w:r>
    </w:p>
    <w:p>
      <w:pPr>
        <w:snapToGrid w:val="0"/>
        <w:ind w:firstLine="480" w:firstLineChars="200"/>
        <w:rPr>
          <w:rFonts w:hint="eastAsia" w:ascii="宋体" w:hAnsi="宋体" w:cs="宋体"/>
          <w:sz w:val="24"/>
          <w:szCs w:val="24"/>
        </w:rPr>
      </w:pPr>
      <w:r>
        <w:rPr>
          <w:rFonts w:hint="eastAsia" w:ascii="宋体" w:hAnsi="宋体" w:cs="宋体"/>
          <w:sz w:val="24"/>
          <w:szCs w:val="24"/>
        </w:rPr>
        <w:t>六角砖路面：                  平方米；</w:t>
      </w:r>
    </w:p>
    <w:p>
      <w:pPr>
        <w:snapToGrid w:val="0"/>
        <w:ind w:firstLine="480" w:firstLineChars="200"/>
        <w:rPr>
          <w:rFonts w:hint="eastAsia" w:ascii="宋体" w:hAnsi="宋体" w:cs="宋体"/>
          <w:sz w:val="24"/>
          <w:szCs w:val="24"/>
        </w:rPr>
      </w:pPr>
      <w:r>
        <w:rPr>
          <w:rFonts w:hint="eastAsia" w:ascii="宋体" w:hAnsi="宋体" w:cs="宋体"/>
          <w:sz w:val="24"/>
          <w:szCs w:val="24"/>
        </w:rPr>
        <w:t>公共路灯：                    只；</w:t>
      </w:r>
    </w:p>
    <w:p>
      <w:pPr>
        <w:snapToGrid w:val="0"/>
        <w:ind w:firstLine="480" w:firstLineChars="200"/>
        <w:rPr>
          <w:rFonts w:hint="eastAsia" w:ascii="宋体" w:hAnsi="宋体" w:cs="宋体"/>
          <w:sz w:val="24"/>
          <w:szCs w:val="24"/>
        </w:rPr>
      </w:pPr>
      <w:r>
        <w:rPr>
          <w:rFonts w:hint="eastAsia" w:ascii="宋体" w:hAnsi="宋体" w:cs="宋体"/>
          <w:sz w:val="24"/>
          <w:szCs w:val="24"/>
        </w:rPr>
        <w:t>建筑小品：                    个；</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共用架空层：       栋共约         平方米； </w:t>
      </w:r>
    </w:p>
    <w:p>
      <w:pPr>
        <w:snapToGrid w:val="0"/>
        <w:ind w:firstLine="480" w:firstLineChars="200"/>
        <w:rPr>
          <w:rFonts w:hint="eastAsia" w:ascii="宋体" w:hAnsi="宋体" w:cs="宋体"/>
          <w:sz w:val="24"/>
          <w:szCs w:val="24"/>
        </w:rPr>
      </w:pPr>
      <w:r>
        <w:rPr>
          <w:rFonts w:hint="eastAsia" w:ascii="宋体" w:hAnsi="宋体" w:cs="宋体"/>
          <w:sz w:val="24"/>
          <w:szCs w:val="24"/>
        </w:rPr>
        <w:t>围墙：                                  ；</w:t>
      </w:r>
    </w:p>
    <w:p>
      <w:pPr>
        <w:snapToGrid w:val="0"/>
        <w:ind w:firstLine="480" w:firstLineChars="200"/>
        <w:rPr>
          <w:rFonts w:hint="eastAsia" w:ascii="宋体" w:hAnsi="宋体" w:cs="宋体"/>
          <w:sz w:val="24"/>
          <w:szCs w:val="24"/>
        </w:rPr>
      </w:pPr>
      <w:r>
        <w:rPr>
          <w:rFonts w:hint="eastAsia" w:ascii="宋体" w:hAnsi="宋体" w:cs="宋体"/>
          <w:sz w:val="24"/>
          <w:szCs w:val="24"/>
        </w:rPr>
        <w:t>大门：                                  ；</w:t>
      </w:r>
    </w:p>
    <w:p>
      <w:pPr>
        <w:snapToGrid w:val="0"/>
        <w:ind w:firstLine="480" w:firstLineChars="200"/>
        <w:rPr>
          <w:rFonts w:hint="eastAsia" w:ascii="宋体" w:hAnsi="宋体" w:cs="宋体"/>
          <w:sz w:val="24"/>
          <w:szCs w:val="24"/>
        </w:rPr>
      </w:pPr>
      <w:r>
        <w:rPr>
          <w:rFonts w:hint="eastAsia" w:ascii="宋体" w:hAnsi="宋体" w:cs="宋体"/>
          <w:sz w:val="24"/>
          <w:szCs w:val="24"/>
        </w:rPr>
        <w:t>公共卫生间：                      处；</w:t>
      </w:r>
    </w:p>
    <w:p>
      <w:pPr>
        <w:snapToGrid w:val="0"/>
        <w:ind w:firstLine="480" w:firstLineChars="200"/>
        <w:rPr>
          <w:rFonts w:hint="eastAsia" w:ascii="宋体" w:hAnsi="宋体" w:cs="宋体"/>
          <w:sz w:val="24"/>
          <w:szCs w:val="24"/>
        </w:rPr>
      </w:pPr>
      <w:r>
        <w:rPr>
          <w:rFonts w:hint="eastAsia" w:ascii="宋体" w:hAnsi="宋体" w:cs="宋体"/>
          <w:sz w:val="24"/>
          <w:szCs w:val="24"/>
        </w:rPr>
        <w:t>休息设施：                        个；</w:t>
      </w:r>
    </w:p>
    <w:p>
      <w:pPr>
        <w:snapToGrid w:val="0"/>
        <w:ind w:firstLine="480" w:firstLineChars="200"/>
        <w:rPr>
          <w:rFonts w:hint="eastAsia" w:ascii="宋体" w:hAnsi="宋体" w:cs="宋体"/>
          <w:sz w:val="24"/>
          <w:szCs w:val="24"/>
        </w:rPr>
      </w:pPr>
      <w:r>
        <w:rPr>
          <w:rFonts w:hint="eastAsia" w:ascii="宋体" w:hAnsi="宋体" w:cs="宋体"/>
          <w:sz w:val="24"/>
          <w:szCs w:val="24"/>
        </w:rPr>
        <w:t>文体设施：                        处；</w:t>
      </w:r>
    </w:p>
    <w:p>
      <w:pPr>
        <w:snapToGrid w:val="0"/>
        <w:ind w:firstLine="480" w:firstLineChars="200"/>
        <w:rPr>
          <w:rFonts w:hint="eastAsia" w:ascii="宋体" w:hAnsi="宋体" w:cs="宋体"/>
          <w:sz w:val="24"/>
          <w:szCs w:val="24"/>
        </w:rPr>
      </w:pPr>
      <w:r>
        <w:rPr>
          <w:rFonts w:hint="eastAsia" w:ascii="宋体" w:hAnsi="宋体" w:cs="宋体"/>
          <w:sz w:val="24"/>
          <w:szCs w:val="24"/>
        </w:rPr>
        <w:t>宣传栏：                          个；</w:t>
      </w:r>
    </w:p>
    <w:p>
      <w:pPr>
        <w:snapToGrid w:val="0"/>
        <w:ind w:firstLine="480" w:firstLineChars="200"/>
        <w:rPr>
          <w:rFonts w:hint="eastAsia" w:ascii="宋体" w:hAnsi="宋体" w:cs="宋体"/>
          <w:sz w:val="24"/>
          <w:szCs w:val="24"/>
        </w:rPr>
      </w:pPr>
      <w:r>
        <w:rPr>
          <w:rFonts w:hint="eastAsia" w:ascii="宋体" w:hAnsi="宋体" w:cs="宋体"/>
          <w:sz w:val="24"/>
          <w:szCs w:val="24"/>
        </w:rPr>
        <w:t>信报箱：                          套；</w:t>
      </w:r>
    </w:p>
    <w:p>
      <w:pPr>
        <w:snapToGrid w:val="0"/>
        <w:ind w:firstLine="480" w:firstLineChars="200"/>
        <w:rPr>
          <w:rFonts w:hint="eastAsia" w:ascii="宋体" w:hAnsi="宋体" w:cs="宋体"/>
          <w:sz w:val="24"/>
          <w:szCs w:val="24"/>
        </w:rPr>
      </w:pPr>
      <w:r>
        <w:rPr>
          <w:rFonts w:hint="eastAsia" w:ascii="宋体" w:hAnsi="宋体" w:cs="宋体"/>
          <w:sz w:val="24"/>
          <w:szCs w:val="24"/>
        </w:rPr>
        <w:t>给排水管线：                        ；</w:t>
      </w:r>
    </w:p>
    <w:p>
      <w:pPr>
        <w:snapToGrid w:val="0"/>
        <w:ind w:firstLine="480" w:firstLineChars="200"/>
        <w:rPr>
          <w:rFonts w:hint="eastAsia" w:ascii="宋体" w:hAnsi="宋体" w:cs="宋体"/>
          <w:sz w:val="24"/>
          <w:szCs w:val="24"/>
        </w:rPr>
      </w:pPr>
      <w:r>
        <w:rPr>
          <w:rFonts w:hint="eastAsia" w:ascii="宋体" w:hAnsi="宋体" w:cs="宋体"/>
          <w:sz w:val="24"/>
          <w:szCs w:val="24"/>
        </w:rPr>
        <w:t>雨水井：                          个；</w:t>
      </w:r>
    </w:p>
    <w:p>
      <w:pPr>
        <w:snapToGrid w:val="0"/>
        <w:ind w:firstLine="480" w:firstLineChars="200"/>
        <w:rPr>
          <w:rFonts w:hint="eastAsia" w:ascii="宋体" w:hAnsi="宋体" w:cs="宋体"/>
          <w:sz w:val="24"/>
          <w:szCs w:val="24"/>
        </w:rPr>
      </w:pPr>
      <w:r>
        <w:rPr>
          <w:rFonts w:hint="eastAsia" w:ascii="宋体" w:hAnsi="宋体" w:cs="宋体"/>
          <w:sz w:val="24"/>
          <w:szCs w:val="24"/>
        </w:rPr>
        <w:t>污水井：                          个；</w:t>
      </w:r>
    </w:p>
    <w:p>
      <w:pPr>
        <w:snapToGrid w:val="0"/>
        <w:ind w:firstLine="480" w:firstLineChars="200"/>
        <w:rPr>
          <w:rFonts w:hint="eastAsia" w:ascii="宋体" w:hAnsi="宋体" w:cs="宋体"/>
          <w:sz w:val="24"/>
          <w:szCs w:val="24"/>
        </w:rPr>
      </w:pPr>
      <w:r>
        <w:rPr>
          <w:rFonts w:hint="eastAsia" w:ascii="宋体" w:hAnsi="宋体" w:cs="宋体"/>
          <w:sz w:val="24"/>
          <w:szCs w:val="24"/>
        </w:rPr>
        <w:t>化粪池：                          个；</w:t>
      </w:r>
    </w:p>
    <w:p>
      <w:pPr>
        <w:snapToGrid w:val="0"/>
        <w:ind w:firstLine="480" w:firstLineChars="200"/>
        <w:rPr>
          <w:rFonts w:hint="eastAsia" w:ascii="宋体" w:hAnsi="宋体" w:cs="宋体"/>
          <w:sz w:val="24"/>
          <w:szCs w:val="24"/>
        </w:rPr>
      </w:pPr>
      <w:r>
        <w:rPr>
          <w:rFonts w:hint="eastAsia" w:ascii="宋体" w:hAnsi="宋体" w:cs="宋体"/>
          <w:sz w:val="24"/>
          <w:szCs w:val="24"/>
        </w:rPr>
        <w:t>垃圾箱：                          个；</w:t>
      </w:r>
    </w:p>
    <w:p>
      <w:pPr>
        <w:snapToGrid w:val="0"/>
        <w:ind w:firstLine="480" w:firstLineChars="200"/>
        <w:rPr>
          <w:rFonts w:hint="eastAsia" w:ascii="宋体" w:hAnsi="宋体" w:cs="宋体"/>
          <w:sz w:val="24"/>
          <w:szCs w:val="24"/>
        </w:rPr>
      </w:pPr>
      <w:r>
        <w:rPr>
          <w:rFonts w:hint="eastAsia" w:ascii="宋体" w:hAnsi="宋体" w:cs="宋体"/>
          <w:sz w:val="24"/>
          <w:szCs w:val="24"/>
        </w:rPr>
        <w:t>游泳池：                平方米    个；</w:t>
      </w:r>
    </w:p>
    <w:p>
      <w:pPr>
        <w:snapToGrid w:val="0"/>
        <w:ind w:firstLine="480" w:firstLineChars="200"/>
        <w:rPr>
          <w:rFonts w:hint="eastAsia" w:ascii="宋体" w:hAnsi="宋体" w:cs="宋体"/>
          <w:sz w:val="24"/>
          <w:szCs w:val="24"/>
        </w:rPr>
      </w:pPr>
      <w:r>
        <w:rPr>
          <w:rFonts w:hint="eastAsia" w:ascii="宋体" w:hAnsi="宋体" w:cs="宋体"/>
          <w:sz w:val="24"/>
          <w:szCs w:val="24"/>
        </w:rPr>
        <w:t>会所：                  平方米    个；</w:t>
      </w:r>
    </w:p>
    <w:p>
      <w:pPr>
        <w:snapToGrid w:val="0"/>
        <w:ind w:firstLine="480" w:firstLineChars="200"/>
        <w:rPr>
          <w:rFonts w:hint="eastAsia" w:ascii="宋体" w:hAnsi="宋体" w:cs="宋体"/>
          <w:sz w:val="24"/>
          <w:szCs w:val="24"/>
        </w:rPr>
      </w:pPr>
      <w:r>
        <w:rPr>
          <w:rFonts w:hint="eastAsia" w:ascii="宋体" w:hAnsi="宋体" w:cs="宋体"/>
          <w:sz w:val="24"/>
          <w:szCs w:val="24"/>
        </w:rPr>
        <w:t>商业中心：              平方米    个；</w:t>
      </w:r>
    </w:p>
    <w:p>
      <w:pPr>
        <w:snapToGrid w:val="0"/>
        <w:ind w:firstLine="480" w:firstLineChars="200"/>
        <w:rPr>
          <w:rFonts w:hint="eastAsia" w:ascii="宋体" w:hAnsi="宋体" w:cs="宋体"/>
          <w:sz w:val="24"/>
          <w:szCs w:val="24"/>
        </w:rPr>
      </w:pPr>
      <w:r>
        <w:rPr>
          <w:rFonts w:hint="eastAsia" w:ascii="宋体" w:hAnsi="宋体" w:cs="宋体"/>
          <w:sz w:val="24"/>
          <w:szCs w:val="24"/>
        </w:rPr>
        <w:t>高压配电设备：      套；</w:t>
      </w:r>
    </w:p>
    <w:p>
      <w:pPr>
        <w:snapToGrid w:val="0"/>
        <w:ind w:firstLine="480" w:firstLineChars="200"/>
        <w:rPr>
          <w:rFonts w:hint="eastAsia" w:ascii="宋体" w:hAnsi="宋体" w:cs="宋体"/>
          <w:sz w:val="24"/>
          <w:szCs w:val="24"/>
        </w:rPr>
      </w:pPr>
      <w:r>
        <w:rPr>
          <w:rFonts w:hint="eastAsia" w:ascii="宋体" w:hAnsi="宋体" w:cs="宋体"/>
          <w:sz w:val="24"/>
          <w:szCs w:val="24"/>
        </w:rPr>
        <w:t>箱式变电站          套；</w:t>
      </w:r>
    </w:p>
    <w:p>
      <w:pPr>
        <w:snapToGrid w:val="0"/>
        <w:ind w:firstLine="480" w:firstLineChars="200"/>
        <w:rPr>
          <w:rFonts w:hint="eastAsia" w:ascii="宋体" w:hAnsi="宋体" w:cs="宋体"/>
          <w:sz w:val="24"/>
          <w:szCs w:val="24"/>
        </w:rPr>
      </w:pPr>
      <w:r>
        <w:rPr>
          <w:rFonts w:hint="eastAsia" w:ascii="宋体" w:hAnsi="宋体" w:cs="宋体"/>
          <w:sz w:val="24"/>
          <w:szCs w:val="24"/>
        </w:rPr>
        <w:t>二次供水设备：      套；</w:t>
      </w:r>
    </w:p>
    <w:p>
      <w:pPr>
        <w:snapToGrid w:val="0"/>
        <w:ind w:firstLine="480" w:firstLineChars="200"/>
        <w:rPr>
          <w:rFonts w:hint="eastAsia" w:ascii="宋体" w:hAnsi="宋体" w:cs="宋体"/>
          <w:sz w:val="24"/>
          <w:szCs w:val="24"/>
        </w:rPr>
      </w:pPr>
      <w:r>
        <w:rPr>
          <w:rFonts w:hint="eastAsia" w:ascii="宋体" w:hAnsi="宋体" w:cs="宋体"/>
          <w:sz w:val="24"/>
          <w:szCs w:val="24"/>
        </w:rPr>
        <w:t>污水处理设备：      套。</w:t>
      </w:r>
    </w:p>
    <w:p>
      <w:pPr>
        <w:snapToGrid w:val="0"/>
        <w:ind w:firstLine="480" w:firstLineChars="200"/>
        <w:rPr>
          <w:rFonts w:hint="eastAsia" w:ascii="宋体" w:hAnsi="宋体" w:cs="宋体"/>
          <w:sz w:val="24"/>
          <w:szCs w:val="24"/>
        </w:rPr>
      </w:pPr>
      <w:r>
        <w:rPr>
          <w:rFonts w:hint="eastAsia" w:ascii="宋体" w:hAnsi="宋体" w:cs="宋体"/>
          <w:sz w:val="24"/>
          <w:szCs w:val="24"/>
        </w:rPr>
        <w:t>（四）植株、绿地</w:t>
      </w:r>
    </w:p>
    <w:p>
      <w:pPr>
        <w:snapToGrid w:val="0"/>
        <w:ind w:firstLine="480" w:firstLineChars="200"/>
        <w:rPr>
          <w:rFonts w:hint="eastAsia" w:ascii="宋体" w:hAnsi="宋体" w:cs="宋体"/>
          <w:sz w:val="24"/>
          <w:szCs w:val="24"/>
        </w:rPr>
      </w:pPr>
      <w:r>
        <w:rPr>
          <w:rFonts w:hint="eastAsia" w:ascii="宋体" w:hAnsi="宋体" w:cs="宋体"/>
          <w:sz w:val="24"/>
          <w:szCs w:val="24"/>
        </w:rPr>
        <w:t>绿地总面积：             平方米；</w:t>
      </w:r>
    </w:p>
    <w:p>
      <w:pPr>
        <w:snapToGrid w:val="0"/>
        <w:ind w:firstLine="480" w:firstLineChars="200"/>
        <w:rPr>
          <w:rFonts w:hint="eastAsia" w:ascii="宋体" w:hAnsi="宋体" w:cs="宋体"/>
          <w:sz w:val="24"/>
          <w:szCs w:val="24"/>
        </w:rPr>
      </w:pPr>
      <w:r>
        <w:rPr>
          <w:rFonts w:hint="eastAsia" w:ascii="宋体" w:hAnsi="宋体" w:cs="宋体"/>
          <w:sz w:val="24"/>
          <w:szCs w:val="24"/>
        </w:rPr>
        <w:t>草坪面积：               平方米；</w:t>
      </w:r>
    </w:p>
    <w:p>
      <w:pPr>
        <w:snapToGrid w:val="0"/>
        <w:ind w:firstLine="480" w:firstLineChars="200"/>
        <w:rPr>
          <w:rFonts w:hint="eastAsia" w:ascii="宋体" w:hAnsi="宋体" w:cs="宋体"/>
          <w:sz w:val="24"/>
          <w:szCs w:val="24"/>
        </w:rPr>
      </w:pPr>
      <w:r>
        <w:rPr>
          <w:rFonts w:hint="eastAsia" w:ascii="宋体" w:hAnsi="宋体" w:cs="宋体"/>
          <w:sz w:val="24"/>
          <w:szCs w:val="24"/>
        </w:rPr>
        <w:t>灌木花丛：               丛；</w:t>
      </w:r>
    </w:p>
    <w:p>
      <w:pPr>
        <w:snapToGrid w:val="0"/>
        <w:ind w:firstLine="480" w:firstLineChars="200"/>
        <w:rPr>
          <w:rFonts w:hint="eastAsia" w:ascii="宋体" w:hAnsi="宋体" w:cs="宋体"/>
          <w:sz w:val="24"/>
          <w:szCs w:val="24"/>
        </w:rPr>
      </w:pPr>
      <w:r>
        <w:rPr>
          <w:rFonts w:hint="eastAsia" w:ascii="宋体" w:hAnsi="宋体" w:cs="宋体"/>
          <w:sz w:val="24"/>
          <w:szCs w:val="24"/>
        </w:rPr>
        <w:t>乔木：                   株。</w:t>
      </w:r>
    </w:p>
    <w:p>
      <w:pPr>
        <w:snapToGrid w:val="0"/>
        <w:ind w:firstLine="480" w:firstLineChars="200"/>
        <w:rPr>
          <w:rFonts w:hint="eastAsia" w:ascii="宋体" w:hAnsi="宋体" w:cs="宋体"/>
          <w:sz w:val="24"/>
          <w:szCs w:val="24"/>
        </w:rPr>
      </w:pPr>
      <w:r>
        <w:rPr>
          <w:rFonts w:hint="eastAsia" w:ascii="宋体" w:hAnsi="宋体" w:cs="宋体"/>
          <w:sz w:val="24"/>
          <w:szCs w:val="24"/>
        </w:rPr>
        <w:t>（五）                   。</w:t>
      </w:r>
    </w:p>
    <w:p>
      <w:pPr>
        <w:snapToGrid w:val="0"/>
        <w:ind w:firstLine="470" w:firstLineChars="196"/>
        <w:rPr>
          <w:rFonts w:hint="eastAsia" w:ascii="宋体" w:hAnsi="宋体" w:cs="宋体"/>
          <w:sz w:val="24"/>
          <w:szCs w:val="24"/>
        </w:rPr>
      </w:pPr>
      <w:r>
        <w:rPr>
          <w:rFonts w:hint="eastAsia" w:ascii="宋体" w:hAnsi="宋体" w:cs="宋体"/>
          <w:sz w:val="24"/>
          <w:szCs w:val="24"/>
        </w:rPr>
        <w:t>附件三：</w:t>
      </w:r>
    </w:p>
    <w:p>
      <w:pPr>
        <w:snapToGrid w:val="0"/>
        <w:ind w:firstLine="480" w:firstLineChars="200"/>
        <w:rPr>
          <w:rFonts w:hint="eastAsia" w:ascii="宋体" w:hAnsi="宋体" w:cs="宋体"/>
          <w:sz w:val="24"/>
          <w:szCs w:val="24"/>
        </w:rPr>
      </w:pPr>
      <w:r>
        <w:rPr>
          <w:rFonts w:hint="eastAsia" w:ascii="宋体" w:hAnsi="宋体" w:cs="宋体"/>
          <w:sz w:val="24"/>
          <w:szCs w:val="24"/>
        </w:rPr>
        <w:t>物业服务用房明细表和测绘图</w:t>
      </w:r>
    </w:p>
    <w:p>
      <w:pPr>
        <w:snapToGrid w:val="0"/>
        <w:ind w:firstLine="470" w:firstLineChars="196"/>
        <w:rPr>
          <w:rFonts w:hint="eastAsia" w:ascii="宋体" w:hAnsi="宋体" w:cs="宋体"/>
          <w:sz w:val="24"/>
          <w:szCs w:val="24"/>
        </w:rPr>
      </w:pPr>
      <w:r>
        <w:rPr>
          <w:rFonts w:hint="eastAsia" w:ascii="宋体" w:hAnsi="宋体" w:cs="宋体"/>
          <w:sz w:val="24"/>
          <w:szCs w:val="24"/>
        </w:rPr>
        <w:t>附件四：</w:t>
      </w:r>
    </w:p>
    <w:p>
      <w:pPr>
        <w:snapToGrid w:val="0"/>
        <w:ind w:firstLine="480" w:firstLineChars="200"/>
        <w:rPr>
          <w:rFonts w:hint="eastAsia" w:ascii="宋体" w:hAnsi="宋体" w:cs="宋体"/>
          <w:sz w:val="24"/>
          <w:szCs w:val="24"/>
        </w:rPr>
      </w:pPr>
      <w:r>
        <w:rPr>
          <w:rFonts w:hint="eastAsia" w:ascii="宋体" w:hAnsi="宋体" w:cs="宋体"/>
          <w:sz w:val="24"/>
          <w:szCs w:val="24"/>
        </w:rPr>
        <w:t>1．人员配置</w:t>
      </w:r>
    </w:p>
    <w:p>
      <w:pPr>
        <w:snapToGrid w:val="0"/>
        <w:ind w:firstLine="480" w:firstLineChars="200"/>
        <w:rPr>
          <w:rFonts w:hint="eastAsia" w:ascii="宋体" w:hAnsi="宋体" w:cs="宋体"/>
          <w:sz w:val="24"/>
          <w:szCs w:val="24"/>
        </w:rPr>
      </w:pPr>
      <w:r>
        <w:rPr>
          <w:rFonts w:hint="eastAsia" w:ascii="宋体" w:hAnsi="宋体" w:cs="宋体"/>
          <w:sz w:val="24"/>
          <w:szCs w:val="24"/>
        </w:rPr>
        <w:t>2．项目负责人及主要专业技术与管理人员基本情况</w:t>
      </w:r>
    </w:p>
    <w:p>
      <w:pPr>
        <w:snapToGrid w:val="0"/>
        <w:ind w:firstLine="470" w:firstLineChars="196"/>
        <w:rPr>
          <w:rFonts w:hint="eastAsia" w:ascii="宋体" w:hAnsi="宋体" w:cs="宋体"/>
          <w:sz w:val="24"/>
          <w:szCs w:val="24"/>
        </w:rPr>
      </w:pPr>
      <w:r>
        <w:rPr>
          <w:rFonts w:hint="eastAsia" w:ascii="宋体" w:hAnsi="宋体" w:cs="宋体"/>
          <w:sz w:val="24"/>
          <w:szCs w:val="24"/>
        </w:rPr>
        <w:t xml:space="preserve">附件五 ：              </w:t>
      </w:r>
    </w:p>
    <w:p>
      <w:pPr>
        <w:snapToGrid w:val="0"/>
        <w:ind w:left="601" w:leftChars="286"/>
        <w:rPr>
          <w:rFonts w:hint="eastAsia" w:ascii="宋体" w:hAnsi="宋体" w:cs="宋体"/>
          <w:sz w:val="24"/>
          <w:szCs w:val="24"/>
        </w:rPr>
      </w:pPr>
      <w:r>
        <w:rPr>
          <w:rFonts w:hint="eastAsia" w:ascii="宋体" w:hAnsi="宋体" w:cs="宋体"/>
          <w:sz w:val="24"/>
          <w:szCs w:val="24"/>
        </w:rPr>
        <w:t>物业管理服务内容和质量标准（投标文件承诺内容，且与安徽省《住宅区物业服务标准》DB34/5000-2013相符）（应详细具体）</w:t>
      </w:r>
    </w:p>
    <w:p>
      <w:pPr>
        <w:snapToGrid w:val="0"/>
        <w:ind w:firstLine="480" w:firstLineChars="200"/>
        <w:rPr>
          <w:rFonts w:hint="eastAsia" w:ascii="宋体" w:hAnsi="宋体" w:cs="宋体"/>
          <w:sz w:val="24"/>
          <w:szCs w:val="24"/>
        </w:rPr>
      </w:pPr>
      <w:r>
        <w:rPr>
          <w:rFonts w:hint="eastAsia" w:ascii="宋体" w:hAnsi="宋体" w:cs="宋体"/>
          <w:sz w:val="24"/>
          <w:szCs w:val="24"/>
        </w:rPr>
        <w:t>综合服务</w:t>
      </w:r>
    </w:p>
    <w:p>
      <w:pPr>
        <w:snapToGrid w:val="0"/>
        <w:ind w:firstLine="480" w:firstLineChars="200"/>
        <w:rPr>
          <w:rFonts w:hint="eastAsia" w:ascii="宋体" w:hAnsi="宋体" w:cs="宋体"/>
          <w:sz w:val="24"/>
          <w:szCs w:val="24"/>
        </w:rPr>
      </w:pPr>
      <w:r>
        <w:rPr>
          <w:rFonts w:hint="eastAsia" w:ascii="宋体" w:hAnsi="宋体" w:cs="宋体"/>
          <w:sz w:val="24"/>
          <w:szCs w:val="24"/>
        </w:rPr>
        <w:t>1.                              ；</w:t>
      </w:r>
    </w:p>
    <w:p>
      <w:pPr>
        <w:snapToGrid w:val="0"/>
        <w:ind w:firstLine="480" w:firstLineChars="200"/>
        <w:rPr>
          <w:rFonts w:hint="eastAsia" w:ascii="宋体" w:hAnsi="宋体" w:cs="宋体"/>
          <w:sz w:val="24"/>
          <w:szCs w:val="24"/>
        </w:rPr>
      </w:pPr>
      <w:r>
        <w:rPr>
          <w:rFonts w:hint="eastAsia" w:ascii="宋体" w:hAnsi="宋体" w:cs="宋体"/>
          <w:sz w:val="24"/>
          <w:szCs w:val="24"/>
        </w:rPr>
        <w:t>2.                              ；</w:t>
      </w:r>
    </w:p>
    <w:p>
      <w:pPr>
        <w:snapToGrid w:val="0"/>
        <w:ind w:firstLine="480" w:firstLineChars="200"/>
        <w:rPr>
          <w:rFonts w:hint="eastAsia" w:ascii="宋体" w:hAnsi="宋体" w:cs="宋体"/>
          <w:sz w:val="24"/>
          <w:szCs w:val="24"/>
        </w:rPr>
      </w:pPr>
      <w:r>
        <w:rPr>
          <w:rFonts w:hint="eastAsia" w:ascii="宋体" w:hAnsi="宋体" w:cs="宋体"/>
          <w:sz w:val="24"/>
          <w:szCs w:val="24"/>
        </w:rPr>
        <w:t>3.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物业共用部位的维修、养护和管理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1.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2.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3.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物业共用设施设备的运行、维修、养护和管理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1.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2.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3.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物业共用部位和相关场地的清洁卫生，垃圾的收集、清运及雨、污水管道的疏通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1.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2.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3.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公共绿化的养护和管理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1.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2.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3.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车辆停放管理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1.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2.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3.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公共秩序维护、安全防范等事项的协助管理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1.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2.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3.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装饰装修管理服务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1.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2.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3.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物业档案资料管理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1.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2.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3.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其他服务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1.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2.                            ； </w:t>
      </w:r>
    </w:p>
    <w:p>
      <w:pPr>
        <w:snapToGrid w:val="0"/>
        <w:ind w:firstLine="480" w:firstLineChars="200"/>
        <w:rPr>
          <w:rFonts w:hint="eastAsia" w:ascii="宋体" w:hAnsi="宋体" w:cs="宋体"/>
          <w:sz w:val="24"/>
          <w:szCs w:val="24"/>
        </w:rPr>
      </w:pPr>
      <w:r>
        <w:rPr>
          <w:rFonts w:hint="eastAsia" w:ascii="宋体" w:hAnsi="宋体" w:cs="宋体"/>
          <w:sz w:val="24"/>
          <w:szCs w:val="24"/>
        </w:rPr>
        <w:t xml:space="preserve">3.                            。      </w:t>
      </w:r>
    </w:p>
    <w:p>
      <w:pPr>
        <w:snapToGrid w:val="0"/>
        <w:spacing w:line="300" w:lineRule="atLeast"/>
        <w:ind w:firstLine="480" w:firstLineChars="200"/>
        <w:rPr>
          <w:rFonts w:hint="eastAsia" w:ascii="宋体" w:hAnsi="宋体" w:cs="宋体"/>
          <w:sz w:val="24"/>
        </w:rPr>
      </w:pPr>
    </w:p>
    <w:p>
      <w:pPr>
        <w:snapToGrid w:val="0"/>
        <w:spacing w:line="300" w:lineRule="atLeast"/>
        <w:ind w:firstLine="480" w:firstLineChars="200"/>
        <w:rPr>
          <w:rFonts w:hint="eastAsia" w:ascii="宋体" w:hAnsi="宋体" w:cs="宋体"/>
          <w:sz w:val="24"/>
        </w:rPr>
      </w:pPr>
    </w:p>
    <w:p>
      <w:pPr>
        <w:snapToGrid w:val="0"/>
        <w:spacing w:line="300" w:lineRule="atLeast"/>
        <w:ind w:firstLine="480" w:firstLineChars="200"/>
        <w:rPr>
          <w:rFonts w:hint="eastAsia" w:ascii="宋体" w:hAnsi="宋体" w:cs="宋体"/>
          <w:sz w:val="24"/>
        </w:rPr>
      </w:pPr>
    </w:p>
    <w:p>
      <w:pPr>
        <w:snapToGrid w:val="0"/>
        <w:spacing w:line="300" w:lineRule="atLeast"/>
        <w:ind w:firstLine="480" w:firstLineChars="200"/>
        <w:rPr>
          <w:rFonts w:hint="eastAsia" w:ascii="宋体" w:hAnsi="宋体" w:cs="宋体"/>
          <w:sz w:val="24"/>
        </w:rPr>
      </w:pPr>
    </w:p>
    <w:p>
      <w:pPr>
        <w:tabs>
          <w:tab w:val="left" w:pos="0"/>
        </w:tabs>
        <w:spacing w:line="360" w:lineRule="auto"/>
        <w:ind w:firstLine="480" w:firstLineChars="200"/>
        <w:rPr>
          <w:rFonts w:hint="eastAsia" w:ascii="宋体" w:hAnsi="宋体" w:cs="宋体"/>
          <w:sz w:val="24"/>
        </w:rPr>
      </w:pPr>
    </w:p>
    <w:p>
      <w:pPr>
        <w:pStyle w:val="16"/>
        <w:ind w:firstLine="480"/>
        <w:rPr>
          <w:rFonts w:hint="eastAsia" w:ascii="宋体" w:hAnsi="宋体" w:eastAsia="宋体" w:cs="宋体"/>
          <w:sz w:val="24"/>
        </w:rPr>
      </w:pPr>
    </w:p>
    <w:p>
      <w:pPr>
        <w:pStyle w:val="16"/>
        <w:ind w:firstLine="480"/>
        <w:rPr>
          <w:rFonts w:hint="eastAsia" w:ascii="宋体" w:hAnsi="宋体" w:eastAsia="宋体" w:cs="宋体"/>
          <w:sz w:val="24"/>
        </w:rPr>
      </w:pPr>
    </w:p>
    <w:p>
      <w:pPr>
        <w:pStyle w:val="16"/>
        <w:ind w:firstLineChars="175"/>
        <w:rPr>
          <w:rFonts w:hint="eastAsia" w:ascii="宋体" w:hAnsi="宋体" w:eastAsia="宋体" w:cs="宋体"/>
          <w:sz w:val="24"/>
        </w:rPr>
      </w:pPr>
    </w:p>
    <w:p>
      <w:pPr>
        <w:pStyle w:val="16"/>
        <w:ind w:firstLineChars="175"/>
        <w:rPr>
          <w:rFonts w:hint="eastAsia" w:ascii="宋体" w:hAnsi="宋体" w:eastAsia="宋体" w:cs="宋体"/>
          <w:sz w:val="24"/>
        </w:rPr>
      </w:pPr>
    </w:p>
    <w:p>
      <w:pPr>
        <w:pStyle w:val="3"/>
        <w:numPr>
          <w:ilvl w:val="0"/>
          <w:numId w:val="0"/>
        </w:numPr>
        <w:tabs>
          <w:tab w:val="left" w:pos="1155"/>
        </w:tabs>
        <w:spacing w:after="166" w:afterLines="50"/>
        <w:ind w:firstLine="3213" w:firstLineChars="1000"/>
        <w:jc w:val="both"/>
        <w:rPr>
          <w:rFonts w:hint="eastAsia" w:ascii="宋体" w:hAnsi="宋体" w:eastAsia="宋体" w:cs="宋体"/>
          <w:b/>
          <w:color w:val="000000"/>
          <w:kern w:val="0"/>
          <w:sz w:val="24"/>
          <w:szCs w:val="24"/>
          <w:highlight w:val="none"/>
        </w:rPr>
      </w:pPr>
      <w:bookmarkStart w:id="41" w:name="_Toc3639"/>
      <w:bookmarkStart w:id="42" w:name="_Toc438822077"/>
      <w:r>
        <w:rPr>
          <w:rFonts w:hint="eastAsia" w:ascii="宋体" w:hAnsi="宋体" w:eastAsia="宋体" w:cs="宋体"/>
          <w:b/>
          <w:bCs/>
          <w:sz w:val="32"/>
          <w:szCs w:val="32"/>
          <w:lang w:eastAsia="zh-CN"/>
        </w:rPr>
        <w:t>第五章、</w:t>
      </w:r>
      <w:r>
        <w:rPr>
          <w:rFonts w:hint="eastAsia" w:ascii="宋体" w:hAnsi="宋体" w:eastAsia="宋体" w:cs="宋体"/>
          <w:b/>
          <w:bCs/>
          <w:sz w:val="32"/>
          <w:szCs w:val="32"/>
        </w:rPr>
        <w:t xml:space="preserve"> 评标办法</w:t>
      </w:r>
      <w:bookmarkEnd w:id="41"/>
      <w:bookmarkEnd w:id="42"/>
    </w:p>
    <w:p>
      <w:pPr>
        <w:widowControl/>
        <w:adjustRightInd w:val="0"/>
        <w:snapToGrid w:val="0"/>
        <w:spacing w:line="500" w:lineRule="exact"/>
        <w:jc w:val="center"/>
        <w:rPr>
          <w:rFonts w:hint="eastAsia" w:ascii="宋体" w:hAnsi="宋体" w:eastAsia="宋体" w:cs="宋体"/>
          <w:b/>
          <w:color w:val="000000"/>
          <w:kern w:val="0"/>
          <w:sz w:val="24"/>
          <w:szCs w:val="24"/>
          <w:highlight w:val="none"/>
        </w:rPr>
      </w:pPr>
      <w:r>
        <w:rPr>
          <w:rFonts w:hint="eastAsia" w:ascii="宋体" w:hAnsi="宋体" w:eastAsia="宋体" w:cs="宋体"/>
          <w:b/>
          <w:color w:val="000000"/>
          <w:kern w:val="0"/>
          <w:sz w:val="24"/>
          <w:szCs w:val="24"/>
          <w:highlight w:val="none"/>
        </w:rPr>
        <w:t>附表：</w:t>
      </w:r>
      <w:r>
        <w:rPr>
          <w:rFonts w:hint="eastAsia" w:ascii="宋体" w:hAnsi="宋体" w:cs="宋体"/>
          <w:b/>
          <w:color w:val="000000"/>
          <w:kern w:val="0"/>
          <w:sz w:val="24"/>
          <w:szCs w:val="24"/>
          <w:highlight w:val="none"/>
          <w:lang w:eastAsia="zh-CN"/>
        </w:rPr>
        <w:t>（一）</w:t>
      </w:r>
      <w:r>
        <w:rPr>
          <w:rFonts w:hint="eastAsia" w:ascii="宋体" w:hAnsi="宋体" w:eastAsia="宋体" w:cs="宋体"/>
          <w:b/>
          <w:color w:val="000000"/>
          <w:kern w:val="0"/>
          <w:sz w:val="24"/>
          <w:szCs w:val="24"/>
          <w:highlight w:val="none"/>
        </w:rPr>
        <w:t>符合性评审表</w:t>
      </w:r>
    </w:p>
    <w:tbl>
      <w:tblPr>
        <w:tblStyle w:val="17"/>
        <w:tblW w:w="913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94"/>
        <w:gridCol w:w="2031"/>
        <w:gridCol w:w="580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8" w:hRule="atLeast"/>
          <w:jc w:val="center"/>
        </w:trPr>
        <w:tc>
          <w:tcPr>
            <w:tcW w:w="1294" w:type="dxa"/>
            <w:tcBorders>
              <w:top w:val="single" w:color="auto" w:sz="4" w:space="0"/>
              <w:left w:val="single" w:color="auto" w:sz="4" w:space="0"/>
              <w:bottom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条款号</w:t>
            </w:r>
          </w:p>
        </w:tc>
        <w:tc>
          <w:tcPr>
            <w:tcW w:w="2031" w:type="dxa"/>
            <w:tcBorders>
              <w:top w:val="single" w:color="auto" w:sz="4" w:space="0"/>
              <w:left w:val="single" w:color="auto" w:sz="4" w:space="0"/>
              <w:bottom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评审因素</w:t>
            </w:r>
          </w:p>
        </w:tc>
        <w:tc>
          <w:tcPr>
            <w:tcW w:w="5805" w:type="dxa"/>
            <w:tcBorders>
              <w:top w:val="single" w:color="auto" w:sz="4" w:space="0"/>
              <w:left w:val="single" w:color="auto" w:sz="4" w:space="0"/>
              <w:bottom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9" w:hRule="atLeast"/>
          <w:jc w:val="center"/>
        </w:trPr>
        <w:tc>
          <w:tcPr>
            <w:tcW w:w="1294"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lang w:eastAsia="zh-CN"/>
              </w:rPr>
            </w:pPr>
            <w:r>
              <w:rPr>
                <w:rFonts w:hint="eastAsia" w:ascii="宋体" w:hAnsi="宋体" w:eastAsia="宋体" w:cs="宋体"/>
                <w:b w:val="0"/>
                <w:bCs/>
                <w:color w:val="auto"/>
                <w:kern w:val="0"/>
                <w:sz w:val="24"/>
                <w:szCs w:val="24"/>
                <w:highlight w:val="none"/>
                <w:lang w:eastAsia="zh-CN"/>
              </w:rPr>
              <w:t>符合性</w:t>
            </w:r>
          </w:p>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lang w:eastAsia="zh-CN"/>
              </w:rPr>
            </w:pPr>
            <w:r>
              <w:rPr>
                <w:rFonts w:hint="eastAsia" w:ascii="宋体" w:hAnsi="宋体" w:eastAsia="宋体" w:cs="宋体"/>
                <w:b w:val="0"/>
                <w:bCs/>
                <w:color w:val="auto"/>
                <w:kern w:val="0"/>
                <w:sz w:val="24"/>
                <w:szCs w:val="24"/>
                <w:highlight w:val="none"/>
                <w:lang w:eastAsia="zh-CN"/>
              </w:rPr>
              <w:t>评审</w:t>
            </w:r>
          </w:p>
        </w:tc>
        <w:tc>
          <w:tcPr>
            <w:tcW w:w="2031" w:type="dxa"/>
            <w:tcBorders>
              <w:top w:val="single" w:color="auto" w:sz="4" w:space="0"/>
              <w:left w:val="single" w:color="auto" w:sz="4" w:space="0"/>
              <w:bottom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投标人名称</w:t>
            </w:r>
          </w:p>
        </w:tc>
        <w:tc>
          <w:tcPr>
            <w:tcW w:w="5805" w:type="dxa"/>
            <w:tcBorders>
              <w:top w:val="single" w:color="auto" w:sz="4" w:space="0"/>
              <w:left w:val="single" w:color="auto" w:sz="4" w:space="0"/>
              <w:bottom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与营业执照等一致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9" w:hRule="atLeast"/>
          <w:jc w:val="center"/>
        </w:trPr>
        <w:tc>
          <w:tcPr>
            <w:tcW w:w="1294"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p>
        </w:tc>
        <w:tc>
          <w:tcPr>
            <w:tcW w:w="2031" w:type="dxa"/>
            <w:tcBorders>
              <w:top w:val="single" w:color="auto" w:sz="4" w:space="0"/>
              <w:left w:val="single" w:color="auto" w:sz="4" w:space="0"/>
              <w:bottom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投标函签字盖章</w:t>
            </w:r>
          </w:p>
        </w:tc>
        <w:tc>
          <w:tcPr>
            <w:tcW w:w="5805" w:type="dxa"/>
            <w:tcBorders>
              <w:top w:val="single" w:color="auto" w:sz="4" w:space="0"/>
              <w:left w:val="single" w:color="auto" w:sz="4" w:space="0"/>
              <w:bottom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符合招标文件要求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9" w:hRule="atLeast"/>
          <w:jc w:val="center"/>
        </w:trPr>
        <w:tc>
          <w:tcPr>
            <w:tcW w:w="1294"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p>
        </w:tc>
        <w:tc>
          <w:tcPr>
            <w:tcW w:w="2031" w:type="dxa"/>
            <w:tcBorders>
              <w:top w:val="single" w:color="auto" w:sz="4" w:space="0"/>
              <w:left w:val="single" w:color="auto" w:sz="4" w:space="0"/>
              <w:bottom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报价唯一</w:t>
            </w:r>
          </w:p>
        </w:tc>
        <w:tc>
          <w:tcPr>
            <w:tcW w:w="5805" w:type="dxa"/>
            <w:tcBorders>
              <w:top w:val="single" w:color="auto" w:sz="4" w:space="0"/>
              <w:left w:val="single" w:color="auto" w:sz="4" w:space="0"/>
              <w:bottom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只能有一个有效报价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9" w:hRule="atLeast"/>
          <w:jc w:val="center"/>
        </w:trPr>
        <w:tc>
          <w:tcPr>
            <w:tcW w:w="1294"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p>
        </w:tc>
        <w:tc>
          <w:tcPr>
            <w:tcW w:w="2031" w:type="dxa"/>
            <w:tcBorders>
              <w:top w:val="single" w:color="auto" w:sz="4" w:space="0"/>
              <w:left w:val="single" w:color="auto" w:sz="4" w:space="0"/>
              <w:bottom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服务期限</w:t>
            </w:r>
          </w:p>
        </w:tc>
        <w:tc>
          <w:tcPr>
            <w:tcW w:w="5805" w:type="dxa"/>
            <w:tcBorders>
              <w:top w:val="single" w:color="auto" w:sz="4" w:space="0"/>
              <w:left w:val="single" w:color="auto" w:sz="4" w:space="0"/>
              <w:bottom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r>
              <w:rPr>
                <w:rFonts w:hint="eastAsia" w:ascii="宋体" w:hAnsi="宋体" w:cs="宋体"/>
                <w:sz w:val="24"/>
                <w:szCs w:val="24"/>
              </w:rPr>
              <w:t>符合“投标人须知前附表”第4项规定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9" w:hRule="atLeast"/>
          <w:jc w:val="center"/>
        </w:trPr>
        <w:tc>
          <w:tcPr>
            <w:tcW w:w="1294"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p>
        </w:tc>
        <w:tc>
          <w:tcPr>
            <w:tcW w:w="2031" w:type="dxa"/>
            <w:tcBorders>
              <w:top w:val="single" w:color="auto" w:sz="4" w:space="0"/>
              <w:left w:val="single" w:color="auto" w:sz="4" w:space="0"/>
              <w:bottom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lang w:eastAsia="zh-CN"/>
              </w:rPr>
            </w:pPr>
            <w:r>
              <w:rPr>
                <w:rFonts w:hint="eastAsia" w:ascii="宋体" w:hAnsi="宋体" w:eastAsia="宋体" w:cs="宋体"/>
                <w:b w:val="0"/>
                <w:bCs/>
                <w:color w:val="auto"/>
                <w:kern w:val="0"/>
                <w:sz w:val="24"/>
                <w:szCs w:val="24"/>
                <w:highlight w:val="none"/>
                <w:lang w:eastAsia="zh-CN"/>
              </w:rPr>
              <w:t>服务标准</w:t>
            </w:r>
          </w:p>
        </w:tc>
        <w:tc>
          <w:tcPr>
            <w:tcW w:w="5805" w:type="dxa"/>
            <w:tcBorders>
              <w:top w:val="single" w:color="auto" w:sz="4" w:space="0"/>
              <w:left w:val="single" w:color="auto" w:sz="4" w:space="0"/>
              <w:bottom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r>
              <w:rPr>
                <w:rFonts w:hint="eastAsia" w:ascii="宋体" w:hAnsi="宋体" w:cs="宋体"/>
                <w:sz w:val="24"/>
                <w:szCs w:val="24"/>
              </w:rPr>
              <w:t>符合“投标人须知前附表”第4项规定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9" w:hRule="atLeast"/>
          <w:jc w:val="center"/>
        </w:trPr>
        <w:tc>
          <w:tcPr>
            <w:tcW w:w="129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lang w:eastAsia="zh-CN"/>
              </w:rPr>
            </w:pPr>
            <w:r>
              <w:rPr>
                <w:rFonts w:hint="eastAsia" w:ascii="宋体" w:hAnsi="宋体" w:eastAsia="宋体" w:cs="宋体"/>
                <w:b w:val="0"/>
                <w:bCs/>
                <w:color w:val="auto"/>
                <w:kern w:val="0"/>
                <w:sz w:val="24"/>
                <w:szCs w:val="24"/>
                <w:highlight w:val="none"/>
                <w:lang w:eastAsia="zh-CN"/>
              </w:rPr>
              <w:t>资格</w:t>
            </w:r>
          </w:p>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lang w:eastAsia="zh-CN"/>
              </w:rPr>
            </w:pPr>
            <w:r>
              <w:rPr>
                <w:rFonts w:hint="eastAsia" w:ascii="宋体" w:hAnsi="宋体" w:eastAsia="宋体" w:cs="宋体"/>
                <w:b w:val="0"/>
                <w:bCs/>
                <w:color w:val="auto"/>
                <w:kern w:val="0"/>
                <w:sz w:val="24"/>
                <w:szCs w:val="24"/>
                <w:highlight w:val="none"/>
                <w:lang w:eastAsia="zh-CN"/>
              </w:rPr>
              <w:t>评审</w:t>
            </w:r>
          </w:p>
        </w:tc>
        <w:tc>
          <w:tcPr>
            <w:tcW w:w="2031" w:type="dxa"/>
            <w:tcBorders>
              <w:top w:val="single" w:color="auto" w:sz="4" w:space="0"/>
              <w:left w:val="single" w:color="auto" w:sz="4" w:space="0"/>
              <w:bottom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投标保证金</w:t>
            </w:r>
          </w:p>
        </w:tc>
        <w:tc>
          <w:tcPr>
            <w:tcW w:w="5805" w:type="dxa"/>
            <w:tcBorders>
              <w:top w:val="single" w:color="auto" w:sz="4" w:space="0"/>
              <w:left w:val="single" w:color="auto" w:sz="4" w:space="0"/>
              <w:bottom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符合第二章“</w:t>
            </w:r>
            <w:r>
              <w:rPr>
                <w:rFonts w:hint="eastAsia" w:ascii="宋体" w:hAnsi="宋体" w:eastAsia="宋体" w:cs="宋体"/>
                <w:b w:val="0"/>
                <w:bCs/>
                <w:color w:val="auto"/>
                <w:kern w:val="0"/>
                <w:sz w:val="24"/>
                <w:szCs w:val="24"/>
                <w:highlight w:val="none"/>
                <w:lang w:eastAsia="zh-CN"/>
              </w:rPr>
              <w:t>投标人</w:t>
            </w:r>
            <w:r>
              <w:rPr>
                <w:rFonts w:hint="eastAsia" w:ascii="宋体" w:hAnsi="宋体" w:eastAsia="宋体" w:cs="宋体"/>
                <w:b w:val="0"/>
                <w:bCs/>
                <w:color w:val="auto"/>
                <w:kern w:val="0"/>
                <w:sz w:val="24"/>
                <w:szCs w:val="24"/>
                <w:highlight w:val="none"/>
              </w:rPr>
              <w:t>须知前附表”规定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9" w:hRule="atLeast"/>
          <w:jc w:val="center"/>
        </w:trPr>
        <w:tc>
          <w:tcPr>
            <w:tcW w:w="1294" w:type="dxa"/>
            <w:vMerge w:val="continue"/>
            <w:tcBorders>
              <w:top w:val="single" w:color="auto" w:sz="4" w:space="0"/>
              <w:left w:val="single" w:color="auto" w:sz="4" w:space="0"/>
              <w:bottom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p>
        </w:tc>
        <w:tc>
          <w:tcPr>
            <w:tcW w:w="2031" w:type="dxa"/>
            <w:tcBorders>
              <w:top w:val="single" w:color="auto" w:sz="4" w:space="0"/>
              <w:left w:val="single" w:color="auto" w:sz="4" w:space="0"/>
              <w:bottom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营业执照</w:t>
            </w:r>
          </w:p>
        </w:tc>
        <w:tc>
          <w:tcPr>
            <w:tcW w:w="5805" w:type="dxa"/>
            <w:tcBorders>
              <w:top w:val="single" w:color="auto" w:sz="4" w:space="0"/>
              <w:left w:val="single" w:color="auto" w:sz="4" w:space="0"/>
              <w:bottom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有效并符合招标文件要求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9" w:hRule="atLeast"/>
          <w:jc w:val="center"/>
        </w:trPr>
        <w:tc>
          <w:tcPr>
            <w:tcW w:w="1294" w:type="dxa"/>
            <w:vMerge w:val="continue"/>
            <w:tcBorders>
              <w:top w:val="single" w:color="auto" w:sz="4" w:space="0"/>
              <w:left w:val="single" w:color="auto" w:sz="4" w:space="0"/>
              <w:bottom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p>
        </w:tc>
        <w:tc>
          <w:tcPr>
            <w:tcW w:w="2031" w:type="dxa"/>
            <w:tcBorders>
              <w:top w:val="single" w:color="auto" w:sz="4" w:space="0"/>
              <w:left w:val="single" w:color="auto" w:sz="4" w:space="0"/>
              <w:bottom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lang w:eastAsia="zh-CN"/>
              </w:rPr>
            </w:pPr>
            <w:r>
              <w:rPr>
                <w:rFonts w:hint="eastAsia" w:ascii="宋体" w:hAnsi="宋体" w:eastAsia="宋体" w:cs="宋体"/>
                <w:b w:val="0"/>
                <w:bCs/>
                <w:color w:val="auto"/>
                <w:kern w:val="0"/>
                <w:sz w:val="24"/>
                <w:szCs w:val="24"/>
                <w:highlight w:val="none"/>
                <w:lang w:eastAsia="zh-CN"/>
              </w:rPr>
              <w:t>项目负责人</w:t>
            </w:r>
          </w:p>
        </w:tc>
        <w:tc>
          <w:tcPr>
            <w:tcW w:w="5805" w:type="dxa"/>
            <w:tcBorders>
              <w:top w:val="single" w:color="auto" w:sz="4" w:space="0"/>
              <w:left w:val="single" w:color="auto" w:sz="4" w:space="0"/>
              <w:bottom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r>
              <w:rPr>
                <w:rFonts w:hint="eastAsia" w:ascii="宋体" w:hAnsi="宋体" w:cs="宋体"/>
                <w:sz w:val="24"/>
                <w:szCs w:val="24"/>
              </w:rPr>
              <w:t>符合招标文件要求，提供加盖公章的证书复印件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28" w:hRule="atLeast"/>
          <w:jc w:val="center"/>
        </w:trPr>
        <w:tc>
          <w:tcPr>
            <w:tcW w:w="1294" w:type="dxa"/>
            <w:vMerge w:val="continue"/>
            <w:tcBorders>
              <w:top w:val="single" w:color="auto" w:sz="4" w:space="0"/>
              <w:left w:val="single" w:color="auto" w:sz="4" w:space="0"/>
              <w:bottom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lang w:eastAsia="zh-CN"/>
              </w:rPr>
            </w:pPr>
          </w:p>
        </w:tc>
        <w:tc>
          <w:tcPr>
            <w:tcW w:w="20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备案资料</w:t>
            </w:r>
          </w:p>
        </w:tc>
        <w:tc>
          <w:tcPr>
            <w:tcW w:w="5805" w:type="dxa"/>
            <w:tcBorders>
              <w:top w:val="single" w:color="auto" w:sz="4" w:space="0"/>
              <w:left w:val="single" w:color="auto" w:sz="4" w:space="0"/>
              <w:bottom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外埠入阜企业需提供阜阳市房地产管理局出具的物业备案证明材料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28" w:hRule="atLeast"/>
          <w:jc w:val="center"/>
        </w:trPr>
        <w:tc>
          <w:tcPr>
            <w:tcW w:w="9130" w:type="dxa"/>
            <w:gridSpan w:val="3"/>
            <w:tcBorders>
              <w:top w:val="single" w:color="auto" w:sz="4" w:space="0"/>
              <w:left w:val="single" w:color="auto" w:sz="4" w:space="0"/>
              <w:right w:val="single" w:color="auto" w:sz="4" w:space="0"/>
            </w:tcBorders>
            <w:noWrap w:val="0"/>
            <w:vAlign w:val="bottom"/>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cs="宋体"/>
                <w:sz w:val="24"/>
                <w:szCs w:val="24"/>
                <w:lang w:val="zh-CN"/>
              </w:rPr>
            </w:pPr>
            <w:r>
              <w:rPr>
                <w:rFonts w:hint="eastAsia" w:ascii="宋体" w:hAnsi="宋体" w:cs="宋体"/>
                <w:sz w:val="24"/>
                <w:szCs w:val="24"/>
              </w:rPr>
              <w:t>备注：以上评审中（资格评审）中要求的证件或材料，复印件加盖单位公章放入投标文件中</w:t>
            </w:r>
            <w:r>
              <w:rPr>
                <w:rFonts w:hint="eastAsia" w:ascii="宋体" w:hAnsi="宋体" w:cs="宋体"/>
                <w:sz w:val="24"/>
                <w:szCs w:val="24"/>
                <w:lang w:eastAsia="zh-CN"/>
              </w:rPr>
              <w:t>，无需</w:t>
            </w:r>
            <w:r>
              <w:rPr>
                <w:rFonts w:hint="eastAsia" w:ascii="宋体" w:hAnsi="宋体" w:cs="宋体"/>
                <w:sz w:val="24"/>
                <w:szCs w:val="24"/>
                <w:lang w:val="zh-CN" w:eastAsia="zh-CN"/>
              </w:rPr>
              <w:t>提供原件</w:t>
            </w:r>
            <w:r>
              <w:rPr>
                <w:rFonts w:hint="eastAsia" w:ascii="宋体" w:hAnsi="宋体" w:cs="宋体"/>
                <w:sz w:val="24"/>
                <w:szCs w:val="24"/>
                <w:lang w:val="zh-CN"/>
              </w:rPr>
              <w:t>（缺少复印件或影印件，视为未提供该项证件）。</w:t>
            </w:r>
          </w:p>
          <w:p>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b w:val="0"/>
                <w:bCs/>
                <w:color w:val="auto"/>
                <w:kern w:val="0"/>
                <w:sz w:val="24"/>
                <w:szCs w:val="24"/>
                <w:highlight w:val="none"/>
              </w:rPr>
            </w:pPr>
          </w:p>
        </w:tc>
      </w:tr>
    </w:tbl>
    <w:p>
      <w:pPr>
        <w:numPr>
          <w:ilvl w:val="0"/>
          <w:numId w:val="0"/>
        </w:numPr>
        <w:ind w:left="210" w:leftChars="0"/>
        <w:rPr>
          <w:rFonts w:hint="eastAsia"/>
        </w:rPr>
      </w:pPr>
    </w:p>
    <w:p>
      <w:pPr>
        <w:pStyle w:val="3"/>
        <w:keepNext/>
        <w:keepLines/>
        <w:pageBreakBefore w:val="0"/>
        <w:widowControl w:val="0"/>
        <w:kinsoku/>
        <w:wordWrap/>
        <w:overflowPunct/>
        <w:topLinePunct w:val="0"/>
        <w:autoSpaceDE/>
        <w:autoSpaceDN/>
        <w:bidi w:val="0"/>
        <w:adjustRightInd/>
        <w:snapToGrid/>
        <w:spacing w:before="0" w:after="0"/>
        <w:textAlignment w:val="auto"/>
        <w:rPr>
          <w:rFonts w:hint="eastAsia" w:ascii="新宋体" w:hAnsi="新宋体" w:eastAsia="新宋体" w:cs="新宋体"/>
          <w:sz w:val="28"/>
          <w:szCs w:val="28"/>
          <w:lang w:eastAsia="zh-CN"/>
        </w:rPr>
      </w:pPr>
    </w:p>
    <w:p>
      <w:pPr>
        <w:rPr>
          <w:rFonts w:hint="eastAsia" w:ascii="新宋体" w:hAnsi="新宋体" w:eastAsia="新宋体" w:cs="新宋体"/>
          <w:sz w:val="28"/>
          <w:szCs w:val="28"/>
          <w:lang w:eastAsia="zh-CN"/>
        </w:rPr>
      </w:pPr>
    </w:p>
    <w:p>
      <w:pPr>
        <w:pStyle w:val="16"/>
        <w:rPr>
          <w:rFonts w:hint="eastAsia" w:ascii="新宋体" w:hAnsi="新宋体" w:eastAsia="新宋体" w:cs="新宋体"/>
          <w:sz w:val="28"/>
          <w:szCs w:val="28"/>
          <w:lang w:eastAsia="zh-CN"/>
        </w:rPr>
      </w:pPr>
    </w:p>
    <w:p>
      <w:pPr>
        <w:pStyle w:val="16"/>
        <w:rPr>
          <w:rFonts w:hint="eastAsia" w:ascii="新宋体" w:hAnsi="新宋体" w:eastAsia="新宋体" w:cs="新宋体"/>
          <w:sz w:val="28"/>
          <w:szCs w:val="28"/>
          <w:lang w:eastAsia="zh-CN"/>
        </w:rPr>
      </w:pPr>
    </w:p>
    <w:p>
      <w:pPr>
        <w:pStyle w:val="16"/>
        <w:rPr>
          <w:rFonts w:hint="eastAsia" w:ascii="新宋体" w:hAnsi="新宋体" w:eastAsia="新宋体" w:cs="新宋体"/>
          <w:sz w:val="28"/>
          <w:szCs w:val="28"/>
          <w:lang w:eastAsia="zh-CN"/>
        </w:rPr>
      </w:pPr>
    </w:p>
    <w:p>
      <w:pPr>
        <w:pStyle w:val="16"/>
        <w:rPr>
          <w:rFonts w:hint="eastAsia" w:ascii="新宋体" w:hAnsi="新宋体" w:eastAsia="新宋体" w:cs="新宋体"/>
          <w:sz w:val="28"/>
          <w:szCs w:val="28"/>
          <w:lang w:eastAsia="zh-CN"/>
        </w:rPr>
      </w:pPr>
    </w:p>
    <w:p>
      <w:pPr>
        <w:pStyle w:val="16"/>
        <w:rPr>
          <w:rFonts w:hint="eastAsia" w:ascii="新宋体" w:hAnsi="新宋体" w:eastAsia="新宋体" w:cs="新宋体"/>
          <w:sz w:val="28"/>
          <w:szCs w:val="28"/>
          <w:lang w:eastAsia="zh-CN"/>
        </w:rPr>
      </w:pPr>
    </w:p>
    <w:p>
      <w:pPr>
        <w:pStyle w:val="16"/>
        <w:rPr>
          <w:rFonts w:hint="eastAsia" w:ascii="新宋体" w:hAnsi="新宋体" w:eastAsia="新宋体" w:cs="新宋体"/>
          <w:sz w:val="28"/>
          <w:szCs w:val="28"/>
          <w:lang w:eastAsia="zh-CN"/>
        </w:rPr>
      </w:pPr>
    </w:p>
    <w:p>
      <w:pPr>
        <w:pStyle w:val="16"/>
        <w:rPr>
          <w:rFonts w:hint="eastAsia" w:ascii="新宋体" w:hAnsi="新宋体" w:eastAsia="新宋体" w:cs="新宋体"/>
          <w:sz w:val="28"/>
          <w:szCs w:val="28"/>
          <w:lang w:eastAsia="zh-CN"/>
        </w:rPr>
      </w:pPr>
    </w:p>
    <w:p>
      <w:pPr>
        <w:pStyle w:val="16"/>
        <w:rPr>
          <w:rFonts w:hint="eastAsia" w:ascii="新宋体" w:hAnsi="新宋体" w:eastAsia="新宋体" w:cs="新宋体"/>
          <w:sz w:val="28"/>
          <w:szCs w:val="28"/>
          <w:lang w:eastAsia="zh-CN"/>
        </w:rPr>
      </w:pPr>
    </w:p>
    <w:p>
      <w:pPr>
        <w:pStyle w:val="3"/>
        <w:keepNext/>
        <w:keepLines/>
        <w:pageBreakBefore w:val="0"/>
        <w:widowControl w:val="0"/>
        <w:kinsoku/>
        <w:wordWrap/>
        <w:overflowPunct/>
        <w:topLinePunct w:val="0"/>
        <w:autoSpaceDE/>
        <w:autoSpaceDN/>
        <w:bidi w:val="0"/>
        <w:adjustRightInd/>
        <w:snapToGrid/>
        <w:spacing w:before="0" w:after="0"/>
        <w:ind w:firstLine="3935" w:firstLineChars="1400"/>
        <w:jc w:val="both"/>
        <w:textAlignment w:val="auto"/>
        <w:rPr>
          <w:rFonts w:hint="eastAsia" w:ascii="新宋体" w:hAnsi="新宋体" w:eastAsia="新宋体" w:cs="新宋体"/>
        </w:rPr>
      </w:pPr>
      <w:r>
        <w:rPr>
          <w:rFonts w:hint="eastAsia" w:ascii="新宋体" w:hAnsi="新宋体" w:eastAsia="新宋体" w:cs="新宋体"/>
          <w:sz w:val="28"/>
          <w:szCs w:val="28"/>
          <w:lang w:eastAsia="zh-CN"/>
        </w:rPr>
        <w:t>（二）</w:t>
      </w:r>
      <w:r>
        <w:rPr>
          <w:rFonts w:hint="eastAsia" w:ascii="新宋体" w:hAnsi="新宋体" w:eastAsia="新宋体" w:cs="新宋体"/>
          <w:sz w:val="28"/>
          <w:szCs w:val="28"/>
        </w:rPr>
        <w:t>评分标准</w:t>
      </w:r>
    </w:p>
    <w:tbl>
      <w:tblPr>
        <w:tblStyle w:val="17"/>
        <w:tblW w:w="97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857"/>
        <w:gridCol w:w="67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170" w:type="dxa"/>
            <w:noWrap w:val="0"/>
            <w:vAlign w:val="center"/>
          </w:tcPr>
          <w:p>
            <w:pPr>
              <w:snapToGrid w:val="0"/>
              <w:spacing w:line="360" w:lineRule="auto"/>
              <w:jc w:val="center"/>
              <w:rPr>
                <w:rFonts w:hint="eastAsia" w:ascii="新宋体" w:hAnsi="新宋体" w:eastAsia="新宋体" w:cs="新宋体"/>
                <w:b/>
                <w:bCs/>
                <w:szCs w:val="21"/>
              </w:rPr>
            </w:pPr>
            <w:r>
              <w:rPr>
                <w:rFonts w:hint="eastAsia" w:ascii="新宋体" w:hAnsi="新宋体" w:eastAsia="新宋体" w:cs="新宋体"/>
                <w:b/>
                <w:bCs/>
                <w:szCs w:val="21"/>
              </w:rPr>
              <w:t>内容</w:t>
            </w:r>
          </w:p>
        </w:tc>
        <w:tc>
          <w:tcPr>
            <w:tcW w:w="1857" w:type="dxa"/>
            <w:noWrap w:val="0"/>
            <w:vAlign w:val="center"/>
          </w:tcPr>
          <w:p>
            <w:pPr>
              <w:snapToGrid w:val="0"/>
              <w:spacing w:line="360" w:lineRule="auto"/>
              <w:jc w:val="center"/>
              <w:rPr>
                <w:rFonts w:hint="eastAsia" w:ascii="新宋体" w:hAnsi="新宋体" w:eastAsia="新宋体" w:cs="新宋体"/>
                <w:b/>
                <w:bCs/>
                <w:szCs w:val="21"/>
              </w:rPr>
            </w:pPr>
            <w:r>
              <w:rPr>
                <w:rFonts w:hint="eastAsia" w:ascii="新宋体" w:hAnsi="新宋体" w:eastAsia="新宋体" w:cs="新宋体"/>
                <w:b/>
                <w:bCs/>
                <w:szCs w:val="21"/>
              </w:rPr>
              <w:t>评分项目</w:t>
            </w:r>
          </w:p>
        </w:tc>
        <w:tc>
          <w:tcPr>
            <w:tcW w:w="6752" w:type="dxa"/>
            <w:noWrap w:val="0"/>
            <w:vAlign w:val="center"/>
          </w:tcPr>
          <w:p>
            <w:pPr>
              <w:snapToGrid w:val="0"/>
              <w:spacing w:line="360" w:lineRule="auto"/>
              <w:jc w:val="center"/>
              <w:rPr>
                <w:rFonts w:hint="eastAsia" w:ascii="新宋体" w:hAnsi="新宋体" w:eastAsia="新宋体" w:cs="新宋体"/>
                <w:b/>
                <w:bCs/>
                <w:szCs w:val="21"/>
              </w:rPr>
            </w:pPr>
            <w:r>
              <w:rPr>
                <w:rFonts w:hint="eastAsia" w:ascii="新宋体" w:hAnsi="新宋体" w:eastAsia="新宋体" w:cs="新宋体"/>
                <w:b/>
                <w:bCs/>
                <w:szCs w:val="21"/>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trPr>
        <w:tc>
          <w:tcPr>
            <w:tcW w:w="1170" w:type="dxa"/>
            <w:vMerge w:val="restart"/>
            <w:noWrap w:val="0"/>
            <w:vAlign w:val="center"/>
          </w:tcPr>
          <w:p>
            <w:pPr>
              <w:snapToGrid w:val="0"/>
              <w:spacing w:line="360" w:lineRule="auto"/>
              <w:jc w:val="center"/>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资信标</w:t>
            </w:r>
          </w:p>
          <w:p>
            <w:pPr>
              <w:pStyle w:val="16"/>
              <w:spacing w:line="360" w:lineRule="auto"/>
              <w:ind w:firstLine="0" w:firstLineChars="0"/>
              <w:jc w:val="center"/>
              <w:rPr>
                <w:rFonts w:hint="eastAsia" w:ascii="新宋体" w:hAnsi="新宋体" w:eastAsia="新宋体" w:cs="新宋体"/>
                <w:sz w:val="21"/>
                <w:szCs w:val="21"/>
              </w:rPr>
            </w:pPr>
            <w:r>
              <w:rPr>
                <w:rFonts w:hint="eastAsia" w:ascii="新宋体" w:hAnsi="新宋体" w:eastAsia="新宋体" w:cs="新宋体"/>
                <w:color w:val="auto"/>
                <w:kern w:val="0"/>
                <w:sz w:val="22"/>
                <w:szCs w:val="22"/>
                <w:highlight w:val="none"/>
                <w:lang w:val="en-US" w:eastAsia="zh-CN"/>
              </w:rPr>
              <w:t>30</w:t>
            </w:r>
            <w:r>
              <w:rPr>
                <w:rFonts w:hint="eastAsia" w:ascii="新宋体" w:hAnsi="新宋体" w:eastAsia="新宋体" w:cs="新宋体"/>
                <w:color w:val="auto"/>
                <w:kern w:val="0"/>
                <w:sz w:val="22"/>
                <w:szCs w:val="22"/>
                <w:highlight w:val="none"/>
              </w:rPr>
              <w:t>分</w:t>
            </w:r>
          </w:p>
        </w:tc>
        <w:tc>
          <w:tcPr>
            <w:tcW w:w="1857" w:type="dxa"/>
            <w:noWrap w:val="0"/>
            <w:vAlign w:val="center"/>
          </w:tcPr>
          <w:p>
            <w:pPr>
              <w:snapToGrid w:val="0"/>
              <w:spacing w:line="360" w:lineRule="auto"/>
              <w:jc w:val="center"/>
              <w:rPr>
                <w:rFonts w:hint="eastAsia" w:ascii="新宋体" w:hAnsi="新宋体" w:eastAsia="新宋体" w:cs="新宋体"/>
                <w:sz w:val="21"/>
                <w:szCs w:val="21"/>
              </w:rPr>
            </w:pPr>
            <w:r>
              <w:rPr>
                <w:rFonts w:hint="eastAsia" w:ascii="新宋体" w:hAnsi="新宋体" w:eastAsia="新宋体" w:cs="新宋体"/>
                <w:sz w:val="21"/>
                <w:szCs w:val="21"/>
              </w:rPr>
              <w:t>企业类似业绩</w:t>
            </w:r>
          </w:p>
          <w:p>
            <w:pPr>
              <w:snapToGrid w:val="0"/>
              <w:spacing w:line="360" w:lineRule="auto"/>
              <w:jc w:val="center"/>
              <w:rPr>
                <w:rFonts w:hint="eastAsia" w:ascii="新宋体" w:hAnsi="新宋体" w:eastAsia="新宋体" w:cs="新宋体"/>
                <w:kern w:val="0"/>
                <w:sz w:val="21"/>
                <w:szCs w:val="21"/>
              </w:rPr>
            </w:pPr>
            <w:r>
              <w:rPr>
                <w:rFonts w:hint="eastAsia" w:ascii="新宋体" w:hAnsi="新宋体" w:eastAsia="新宋体" w:cs="新宋体"/>
                <w:sz w:val="21"/>
                <w:szCs w:val="21"/>
              </w:rPr>
              <w:t>（10分）</w:t>
            </w:r>
          </w:p>
        </w:tc>
        <w:tc>
          <w:tcPr>
            <w:tcW w:w="6752" w:type="dxa"/>
            <w:noWrap w:val="0"/>
            <w:vAlign w:val="center"/>
          </w:tcPr>
          <w:p>
            <w:pPr>
              <w:snapToGrid w:val="0"/>
              <w:spacing w:line="360" w:lineRule="auto"/>
              <w:ind w:firstLine="880" w:firstLineChars="400"/>
              <w:rPr>
                <w:rFonts w:hint="eastAsia" w:ascii="新宋体" w:hAnsi="新宋体" w:eastAsia="新宋体" w:cs="新宋体"/>
                <w:b w:val="0"/>
                <w:bCs w:val="0"/>
                <w:sz w:val="22"/>
                <w:szCs w:val="22"/>
              </w:rPr>
            </w:pPr>
            <w:r>
              <w:rPr>
                <w:rFonts w:hint="eastAsia" w:ascii="新宋体" w:hAnsi="新宋体" w:eastAsia="新宋体" w:cs="新宋体"/>
                <w:b w:val="0"/>
                <w:bCs w:val="0"/>
                <w:sz w:val="22"/>
                <w:szCs w:val="22"/>
                <w:lang w:val="en-US" w:eastAsia="zh-CN"/>
              </w:rPr>
              <w:t>提供投标人近三年签订的建筑面积≧10万m²物业服务合同，每提供一个得5分；本项满分10分。（合同签订日期距开标之日超过3年的，应提供项目所在地物业行政主管部门或行业协会提供的在管证明）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0" w:hRule="atLeast"/>
        </w:trPr>
        <w:tc>
          <w:tcPr>
            <w:tcW w:w="1170" w:type="dxa"/>
            <w:vMerge w:val="continue"/>
            <w:noWrap w:val="0"/>
            <w:vAlign w:val="center"/>
          </w:tcPr>
          <w:p>
            <w:pPr>
              <w:pStyle w:val="16"/>
              <w:spacing w:line="360" w:lineRule="auto"/>
              <w:ind w:firstLine="0" w:firstLineChars="0"/>
              <w:jc w:val="center"/>
              <w:rPr>
                <w:rFonts w:hint="eastAsia" w:ascii="新宋体" w:hAnsi="新宋体" w:eastAsia="新宋体" w:cs="新宋体"/>
                <w:sz w:val="21"/>
                <w:szCs w:val="21"/>
              </w:rPr>
            </w:pPr>
          </w:p>
        </w:tc>
        <w:tc>
          <w:tcPr>
            <w:tcW w:w="1857" w:type="dxa"/>
            <w:noWrap w:val="0"/>
            <w:vAlign w:val="center"/>
          </w:tcPr>
          <w:p>
            <w:pPr>
              <w:pStyle w:val="16"/>
              <w:spacing w:line="360" w:lineRule="auto"/>
              <w:ind w:firstLine="0" w:firstLineChars="0"/>
              <w:jc w:val="center"/>
              <w:rPr>
                <w:rFonts w:hint="eastAsia" w:ascii="新宋体" w:hAnsi="新宋体" w:eastAsia="新宋体" w:cs="新宋体"/>
                <w:sz w:val="21"/>
                <w:szCs w:val="21"/>
              </w:rPr>
            </w:pPr>
            <w:r>
              <w:rPr>
                <w:rFonts w:hint="eastAsia" w:ascii="新宋体" w:hAnsi="新宋体" w:eastAsia="新宋体" w:cs="新宋体"/>
                <w:sz w:val="21"/>
                <w:szCs w:val="21"/>
              </w:rPr>
              <w:t>企业相关荣誉</w:t>
            </w:r>
          </w:p>
          <w:p>
            <w:pPr>
              <w:pStyle w:val="16"/>
              <w:spacing w:line="360" w:lineRule="auto"/>
              <w:ind w:firstLine="0" w:firstLineChars="0"/>
              <w:jc w:val="center"/>
              <w:rPr>
                <w:rFonts w:hint="eastAsia" w:ascii="新宋体" w:hAnsi="新宋体" w:eastAsia="新宋体" w:cs="新宋体"/>
                <w:sz w:val="21"/>
                <w:szCs w:val="21"/>
              </w:rPr>
            </w:pPr>
            <w:r>
              <w:rPr>
                <w:rFonts w:hint="eastAsia" w:ascii="新宋体" w:hAnsi="新宋体" w:eastAsia="新宋体" w:cs="新宋体"/>
                <w:sz w:val="21"/>
                <w:szCs w:val="21"/>
              </w:rPr>
              <w:t>（</w:t>
            </w:r>
            <w:r>
              <w:rPr>
                <w:rFonts w:hint="eastAsia" w:ascii="新宋体" w:hAnsi="新宋体" w:eastAsia="新宋体" w:cs="新宋体"/>
                <w:sz w:val="21"/>
                <w:szCs w:val="21"/>
                <w:lang w:val="en-US" w:eastAsia="zh-CN"/>
              </w:rPr>
              <w:t>4</w:t>
            </w:r>
            <w:r>
              <w:rPr>
                <w:rFonts w:hint="eastAsia" w:ascii="新宋体" w:hAnsi="新宋体" w:eastAsia="新宋体" w:cs="新宋体"/>
                <w:sz w:val="21"/>
                <w:szCs w:val="21"/>
              </w:rPr>
              <w:t>分）</w:t>
            </w:r>
          </w:p>
        </w:tc>
        <w:tc>
          <w:tcPr>
            <w:tcW w:w="6752" w:type="dxa"/>
            <w:noWrap w:val="0"/>
            <w:vAlign w:val="center"/>
          </w:tcPr>
          <w:p>
            <w:pPr>
              <w:pStyle w:val="16"/>
              <w:keepNext w:val="0"/>
              <w:keepLines w:val="0"/>
              <w:pageBreakBefore w:val="0"/>
              <w:widowControl w:val="0"/>
              <w:numPr>
                <w:ilvl w:val="0"/>
                <w:numId w:val="6"/>
              </w:numPr>
              <w:kinsoku/>
              <w:wordWrap/>
              <w:overflowPunct/>
              <w:topLinePunct w:val="0"/>
              <w:autoSpaceDE/>
              <w:autoSpaceDN/>
              <w:bidi w:val="0"/>
              <w:adjustRightInd/>
              <w:snapToGrid/>
              <w:spacing w:line="360" w:lineRule="auto"/>
              <w:ind w:firstLine="0" w:firstLineChars="0"/>
              <w:textAlignment w:val="auto"/>
              <w:rPr>
                <w:rFonts w:hint="eastAsia" w:ascii="新宋体" w:hAnsi="新宋体" w:eastAsia="新宋体" w:cs="新宋体"/>
                <w:b w:val="0"/>
                <w:bCs w:val="0"/>
                <w:sz w:val="22"/>
                <w:szCs w:val="22"/>
              </w:rPr>
            </w:pPr>
            <w:r>
              <w:rPr>
                <w:rFonts w:hint="eastAsia" w:ascii="新宋体" w:hAnsi="新宋体" w:eastAsia="新宋体" w:cs="新宋体"/>
                <w:b w:val="0"/>
                <w:bCs w:val="0"/>
                <w:sz w:val="22"/>
                <w:szCs w:val="22"/>
              </w:rPr>
              <w:t>县级及以上地方政府、市级及以上行政主管部门近三年评定的文明创建、平安、节水、园林、先进单位等与物业管理相关的荣誉，每提供一个得2分。（最高得</w:t>
            </w:r>
            <w:r>
              <w:rPr>
                <w:rFonts w:hint="eastAsia" w:ascii="新宋体" w:hAnsi="新宋体" w:eastAsia="新宋体" w:cs="新宋体"/>
                <w:b w:val="0"/>
                <w:bCs w:val="0"/>
                <w:sz w:val="22"/>
                <w:szCs w:val="22"/>
                <w:lang w:val="en-US" w:eastAsia="zh-CN"/>
              </w:rPr>
              <w:t>4</w:t>
            </w:r>
            <w:r>
              <w:rPr>
                <w:rFonts w:hint="eastAsia" w:ascii="新宋体" w:hAnsi="新宋体" w:eastAsia="新宋体" w:cs="新宋体"/>
                <w:b w:val="0"/>
                <w:bCs w:val="0"/>
                <w:sz w:val="22"/>
                <w:szCs w:val="22"/>
              </w:rPr>
              <w:t>分）；</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新宋体" w:hAnsi="新宋体" w:eastAsia="新宋体" w:cs="新宋体"/>
                <w:b w:val="0"/>
                <w:bCs w:val="0"/>
                <w:sz w:val="22"/>
                <w:szCs w:val="22"/>
              </w:rPr>
            </w:pPr>
            <w:r>
              <w:rPr>
                <w:rFonts w:hint="eastAsia" w:ascii="新宋体" w:hAnsi="新宋体" w:eastAsia="新宋体" w:cs="新宋体"/>
                <w:b w:val="0"/>
                <w:bCs w:val="0"/>
                <w:sz w:val="22"/>
                <w:szCs w:val="22"/>
              </w:rPr>
              <w:t>注：以证书颁发或文件下发或网站公告日期为准。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0" w:hRule="atLeast"/>
        </w:trPr>
        <w:tc>
          <w:tcPr>
            <w:tcW w:w="1170" w:type="dxa"/>
            <w:vMerge w:val="continue"/>
            <w:noWrap w:val="0"/>
            <w:vAlign w:val="center"/>
          </w:tcPr>
          <w:p>
            <w:pPr>
              <w:pStyle w:val="16"/>
              <w:spacing w:line="360" w:lineRule="auto"/>
              <w:ind w:firstLine="0" w:firstLineChars="0"/>
              <w:jc w:val="center"/>
              <w:rPr>
                <w:rFonts w:hint="eastAsia" w:ascii="新宋体" w:hAnsi="新宋体" w:eastAsia="新宋体" w:cs="新宋体"/>
                <w:sz w:val="21"/>
                <w:szCs w:val="21"/>
              </w:rPr>
            </w:pPr>
          </w:p>
        </w:tc>
        <w:tc>
          <w:tcPr>
            <w:tcW w:w="1857" w:type="dxa"/>
            <w:noWrap w:val="0"/>
            <w:vAlign w:val="center"/>
          </w:tcPr>
          <w:p>
            <w:pPr>
              <w:pStyle w:val="16"/>
              <w:spacing w:line="360" w:lineRule="auto"/>
              <w:ind w:firstLine="0" w:firstLineChars="0"/>
              <w:jc w:val="center"/>
              <w:rPr>
                <w:rFonts w:hint="eastAsia" w:ascii="新宋体" w:hAnsi="新宋体" w:eastAsia="新宋体" w:cs="新宋体"/>
                <w:sz w:val="21"/>
                <w:szCs w:val="21"/>
              </w:rPr>
            </w:pPr>
            <w:r>
              <w:rPr>
                <w:rFonts w:hint="eastAsia" w:ascii="新宋体" w:hAnsi="新宋体" w:eastAsia="新宋体" w:cs="新宋体"/>
                <w:sz w:val="21"/>
                <w:szCs w:val="21"/>
              </w:rPr>
              <w:t>企业专业技术能力（</w:t>
            </w:r>
            <w:r>
              <w:rPr>
                <w:rFonts w:hint="eastAsia" w:ascii="新宋体" w:hAnsi="新宋体" w:eastAsia="新宋体" w:cs="新宋体"/>
                <w:sz w:val="21"/>
                <w:szCs w:val="21"/>
                <w:lang w:val="en-US" w:eastAsia="zh-CN"/>
              </w:rPr>
              <w:t>4</w:t>
            </w:r>
            <w:r>
              <w:rPr>
                <w:rFonts w:hint="eastAsia" w:ascii="新宋体" w:hAnsi="新宋体" w:eastAsia="新宋体" w:cs="新宋体"/>
                <w:sz w:val="21"/>
                <w:szCs w:val="21"/>
              </w:rPr>
              <w:t>分）</w:t>
            </w:r>
          </w:p>
        </w:tc>
        <w:tc>
          <w:tcPr>
            <w:tcW w:w="6752" w:type="dxa"/>
            <w:noWrap w:val="0"/>
            <w:vAlign w:val="center"/>
          </w:tcPr>
          <w:p>
            <w:pPr>
              <w:pStyle w:val="16"/>
              <w:spacing w:line="360" w:lineRule="auto"/>
              <w:ind w:firstLine="0" w:firstLineChars="0"/>
              <w:rPr>
                <w:rFonts w:hint="eastAsia" w:ascii="新宋体" w:hAnsi="新宋体" w:eastAsia="新宋体" w:cs="新宋体"/>
                <w:b w:val="0"/>
                <w:bCs w:val="0"/>
                <w:sz w:val="22"/>
                <w:szCs w:val="22"/>
              </w:rPr>
            </w:pPr>
            <w:r>
              <w:rPr>
                <w:rFonts w:hint="eastAsia" w:ascii="新宋体" w:hAnsi="新宋体" w:eastAsia="新宋体" w:cs="新宋体"/>
                <w:b w:val="0"/>
                <w:bCs w:val="0"/>
                <w:sz w:val="22"/>
                <w:szCs w:val="22"/>
              </w:rPr>
              <w:t>1、提供物业管理师证或物业企业经理、项目经理证人员10人得</w:t>
            </w:r>
            <w:r>
              <w:rPr>
                <w:rFonts w:hint="eastAsia" w:ascii="新宋体" w:hAnsi="新宋体" w:eastAsia="新宋体" w:cs="新宋体"/>
                <w:b w:val="0"/>
                <w:bCs w:val="0"/>
                <w:sz w:val="22"/>
                <w:szCs w:val="22"/>
                <w:lang w:val="en-US" w:eastAsia="zh-CN"/>
              </w:rPr>
              <w:t>2</w:t>
            </w:r>
            <w:r>
              <w:rPr>
                <w:rFonts w:hint="eastAsia" w:ascii="新宋体" w:hAnsi="新宋体" w:eastAsia="新宋体" w:cs="新宋体"/>
                <w:b w:val="0"/>
                <w:bCs w:val="0"/>
                <w:sz w:val="22"/>
                <w:szCs w:val="22"/>
              </w:rPr>
              <w:t>分，提供5人以上不足10人得</w:t>
            </w:r>
            <w:r>
              <w:rPr>
                <w:rFonts w:hint="eastAsia" w:ascii="新宋体" w:hAnsi="新宋体" w:eastAsia="新宋体" w:cs="新宋体"/>
                <w:b w:val="0"/>
                <w:bCs w:val="0"/>
                <w:sz w:val="22"/>
                <w:szCs w:val="22"/>
                <w:lang w:val="en-US" w:eastAsia="zh-CN"/>
              </w:rPr>
              <w:t>1</w:t>
            </w:r>
            <w:r>
              <w:rPr>
                <w:rFonts w:hint="eastAsia" w:ascii="新宋体" w:hAnsi="新宋体" w:eastAsia="新宋体" w:cs="新宋体"/>
                <w:b w:val="0"/>
                <w:bCs w:val="0"/>
                <w:sz w:val="22"/>
                <w:szCs w:val="22"/>
              </w:rPr>
              <w:t>分，5人以下得</w:t>
            </w:r>
            <w:r>
              <w:rPr>
                <w:rFonts w:hint="eastAsia" w:ascii="新宋体" w:hAnsi="新宋体" w:eastAsia="新宋体" w:cs="新宋体"/>
                <w:b w:val="0"/>
                <w:bCs w:val="0"/>
                <w:sz w:val="22"/>
                <w:szCs w:val="22"/>
                <w:lang w:val="en-US" w:eastAsia="zh-CN"/>
              </w:rPr>
              <w:t>0</w:t>
            </w:r>
            <w:r>
              <w:rPr>
                <w:rFonts w:hint="eastAsia" w:ascii="新宋体" w:hAnsi="新宋体" w:eastAsia="新宋体" w:cs="新宋体"/>
                <w:b w:val="0"/>
                <w:bCs w:val="0"/>
                <w:sz w:val="22"/>
                <w:szCs w:val="22"/>
              </w:rPr>
              <w:t>分；</w:t>
            </w:r>
          </w:p>
          <w:p>
            <w:pPr>
              <w:pStyle w:val="16"/>
              <w:spacing w:line="360" w:lineRule="auto"/>
              <w:ind w:firstLine="0" w:firstLineChars="0"/>
              <w:rPr>
                <w:rFonts w:hint="eastAsia" w:ascii="新宋体" w:hAnsi="新宋体" w:eastAsia="新宋体" w:cs="新宋体"/>
                <w:b w:val="0"/>
                <w:bCs w:val="0"/>
                <w:sz w:val="22"/>
                <w:szCs w:val="22"/>
              </w:rPr>
            </w:pPr>
            <w:r>
              <w:rPr>
                <w:rFonts w:hint="eastAsia" w:ascii="新宋体" w:hAnsi="新宋体" w:eastAsia="新宋体" w:cs="新宋体"/>
                <w:b w:val="0"/>
                <w:bCs w:val="0"/>
                <w:sz w:val="22"/>
                <w:szCs w:val="22"/>
              </w:rPr>
              <w:t>2、提供高压或低压电工证或特种设备作业证、中级消防员证（含结业）10人得</w:t>
            </w:r>
            <w:r>
              <w:rPr>
                <w:rFonts w:hint="eastAsia" w:ascii="新宋体" w:hAnsi="新宋体" w:eastAsia="新宋体" w:cs="新宋体"/>
                <w:b w:val="0"/>
                <w:bCs w:val="0"/>
                <w:sz w:val="22"/>
                <w:szCs w:val="22"/>
                <w:lang w:val="en-US" w:eastAsia="zh-CN"/>
              </w:rPr>
              <w:t>2</w:t>
            </w:r>
            <w:r>
              <w:rPr>
                <w:rFonts w:hint="eastAsia" w:ascii="新宋体" w:hAnsi="新宋体" w:eastAsia="新宋体" w:cs="新宋体"/>
                <w:b w:val="0"/>
                <w:bCs w:val="0"/>
                <w:sz w:val="22"/>
                <w:szCs w:val="22"/>
              </w:rPr>
              <w:t>分，提供5人以上不足10人得</w:t>
            </w:r>
            <w:r>
              <w:rPr>
                <w:rFonts w:hint="eastAsia" w:ascii="新宋体" w:hAnsi="新宋体" w:eastAsia="新宋体" w:cs="新宋体"/>
                <w:b w:val="0"/>
                <w:bCs w:val="0"/>
                <w:sz w:val="22"/>
                <w:szCs w:val="22"/>
                <w:lang w:val="en-US" w:eastAsia="zh-CN"/>
              </w:rPr>
              <w:t>1</w:t>
            </w:r>
            <w:r>
              <w:rPr>
                <w:rFonts w:hint="eastAsia" w:ascii="新宋体" w:hAnsi="新宋体" w:eastAsia="新宋体" w:cs="新宋体"/>
                <w:b w:val="0"/>
                <w:bCs w:val="0"/>
                <w:sz w:val="22"/>
                <w:szCs w:val="22"/>
              </w:rPr>
              <w:t>分，5人以下得</w:t>
            </w:r>
            <w:r>
              <w:rPr>
                <w:rFonts w:hint="eastAsia" w:ascii="新宋体" w:hAnsi="新宋体" w:eastAsia="新宋体" w:cs="新宋体"/>
                <w:b w:val="0"/>
                <w:bCs w:val="0"/>
                <w:sz w:val="22"/>
                <w:szCs w:val="22"/>
                <w:lang w:val="en-US" w:eastAsia="zh-CN"/>
              </w:rPr>
              <w:t>0</w:t>
            </w:r>
            <w:r>
              <w:rPr>
                <w:rFonts w:hint="eastAsia" w:ascii="新宋体" w:hAnsi="新宋体" w:eastAsia="新宋体" w:cs="新宋体"/>
                <w:b w:val="0"/>
                <w:bCs w:val="0"/>
                <w:sz w:val="22"/>
                <w:szCs w:val="22"/>
              </w:rPr>
              <w:t>分；</w:t>
            </w:r>
          </w:p>
          <w:p>
            <w:pPr>
              <w:pStyle w:val="16"/>
              <w:spacing w:line="360" w:lineRule="auto"/>
              <w:ind w:firstLine="0" w:firstLineChars="0"/>
              <w:rPr>
                <w:rFonts w:hint="eastAsia" w:ascii="新宋体" w:hAnsi="新宋体" w:eastAsia="新宋体" w:cs="新宋体"/>
                <w:b w:val="0"/>
                <w:bCs w:val="0"/>
                <w:sz w:val="22"/>
                <w:szCs w:val="22"/>
              </w:rPr>
            </w:pPr>
            <w:r>
              <w:rPr>
                <w:rFonts w:hint="eastAsia" w:ascii="新宋体" w:hAnsi="新宋体" w:eastAsia="新宋体" w:cs="新宋体"/>
                <w:b w:val="0"/>
                <w:bCs w:val="0"/>
                <w:sz w:val="22"/>
                <w:szCs w:val="22"/>
              </w:rPr>
              <w:t>注：1人持多个证书的的，按一人计算有效，以上人员须提供近6个月以上本单位缴纳社保证明方可得分。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5" w:hRule="atLeast"/>
        </w:trPr>
        <w:tc>
          <w:tcPr>
            <w:tcW w:w="1170" w:type="dxa"/>
            <w:vMerge w:val="continue"/>
            <w:noWrap w:val="0"/>
            <w:vAlign w:val="center"/>
          </w:tcPr>
          <w:p>
            <w:pPr>
              <w:pStyle w:val="16"/>
              <w:spacing w:line="360" w:lineRule="auto"/>
              <w:ind w:firstLine="0" w:firstLineChars="0"/>
              <w:jc w:val="center"/>
              <w:rPr>
                <w:rFonts w:hint="eastAsia" w:ascii="新宋体" w:hAnsi="新宋体" w:eastAsia="新宋体" w:cs="新宋体"/>
                <w:sz w:val="21"/>
                <w:szCs w:val="21"/>
              </w:rPr>
            </w:pPr>
          </w:p>
        </w:tc>
        <w:tc>
          <w:tcPr>
            <w:tcW w:w="1857" w:type="dxa"/>
            <w:noWrap w:val="0"/>
            <w:vAlign w:val="center"/>
          </w:tcPr>
          <w:p>
            <w:pPr>
              <w:pStyle w:val="16"/>
              <w:spacing w:line="360" w:lineRule="auto"/>
              <w:ind w:firstLine="0" w:firstLineChars="0"/>
              <w:jc w:val="center"/>
              <w:rPr>
                <w:rFonts w:hint="eastAsia" w:ascii="新宋体" w:hAnsi="新宋体" w:eastAsia="新宋体" w:cs="新宋体"/>
                <w:sz w:val="21"/>
                <w:szCs w:val="21"/>
              </w:rPr>
            </w:pPr>
            <w:r>
              <w:rPr>
                <w:rFonts w:hint="eastAsia" w:ascii="新宋体" w:hAnsi="新宋体" w:eastAsia="新宋体" w:cs="新宋体"/>
                <w:kern w:val="0"/>
                <w:sz w:val="21"/>
                <w:szCs w:val="21"/>
              </w:rPr>
              <w:t>企业在阜信用等级（</w:t>
            </w:r>
            <w:r>
              <w:rPr>
                <w:rFonts w:hint="eastAsia" w:ascii="新宋体" w:hAnsi="新宋体" w:eastAsia="新宋体" w:cs="新宋体"/>
                <w:kern w:val="0"/>
                <w:sz w:val="21"/>
                <w:szCs w:val="21"/>
                <w:lang w:val="en-US" w:eastAsia="zh-CN"/>
              </w:rPr>
              <w:t>6</w:t>
            </w:r>
            <w:r>
              <w:rPr>
                <w:rFonts w:hint="eastAsia" w:ascii="新宋体" w:hAnsi="新宋体" w:eastAsia="新宋体" w:cs="新宋体"/>
                <w:kern w:val="0"/>
                <w:sz w:val="21"/>
                <w:szCs w:val="21"/>
              </w:rPr>
              <w:t>分）</w:t>
            </w:r>
          </w:p>
        </w:tc>
        <w:tc>
          <w:tcPr>
            <w:tcW w:w="6752" w:type="dxa"/>
            <w:noWrap w:val="0"/>
            <w:vAlign w:val="center"/>
          </w:tcPr>
          <w:p>
            <w:pPr>
              <w:pStyle w:val="16"/>
              <w:spacing w:line="360" w:lineRule="auto"/>
              <w:ind w:firstLine="660" w:firstLineChars="300"/>
              <w:rPr>
                <w:rFonts w:hint="eastAsia" w:ascii="新宋体" w:hAnsi="新宋体" w:eastAsia="新宋体" w:cs="新宋体"/>
                <w:b w:val="0"/>
                <w:bCs w:val="0"/>
                <w:kern w:val="0"/>
                <w:sz w:val="22"/>
                <w:szCs w:val="22"/>
              </w:rPr>
            </w:pPr>
            <w:r>
              <w:rPr>
                <w:rFonts w:hint="eastAsia" w:ascii="新宋体" w:hAnsi="新宋体" w:eastAsia="新宋体" w:cs="新宋体"/>
                <w:b w:val="0"/>
                <w:bCs w:val="0"/>
                <w:kern w:val="0"/>
                <w:sz w:val="22"/>
                <w:szCs w:val="22"/>
              </w:rPr>
              <w:t>上年度信用等级评定</w:t>
            </w:r>
            <w:r>
              <w:rPr>
                <w:rFonts w:hint="eastAsia" w:ascii="新宋体" w:hAnsi="新宋体" w:eastAsia="新宋体" w:cs="新宋体"/>
                <w:b w:val="0"/>
                <w:bCs w:val="0"/>
                <w:kern w:val="0"/>
                <w:sz w:val="22"/>
                <w:szCs w:val="22"/>
                <w:lang w:val="en-US" w:eastAsia="zh-CN"/>
              </w:rPr>
              <w:t>A</w:t>
            </w:r>
            <w:bookmarkStart w:id="98" w:name="_GoBack"/>
            <w:bookmarkEnd w:id="98"/>
            <w:r>
              <w:rPr>
                <w:rFonts w:hint="eastAsia" w:ascii="新宋体" w:hAnsi="新宋体" w:eastAsia="新宋体" w:cs="新宋体"/>
                <w:b w:val="0"/>
                <w:bCs w:val="0"/>
                <w:kern w:val="0"/>
                <w:sz w:val="22"/>
                <w:szCs w:val="22"/>
              </w:rPr>
              <w:t>级得</w:t>
            </w:r>
            <w:r>
              <w:rPr>
                <w:rFonts w:hint="eastAsia" w:ascii="新宋体" w:hAnsi="新宋体" w:eastAsia="新宋体" w:cs="新宋体"/>
                <w:b w:val="0"/>
                <w:bCs w:val="0"/>
                <w:kern w:val="0"/>
                <w:sz w:val="22"/>
                <w:szCs w:val="22"/>
                <w:lang w:val="en-US" w:eastAsia="zh-CN"/>
              </w:rPr>
              <w:t>6</w:t>
            </w:r>
            <w:r>
              <w:rPr>
                <w:rFonts w:hint="eastAsia" w:ascii="新宋体" w:hAnsi="新宋体" w:eastAsia="新宋体" w:cs="新宋体"/>
                <w:b w:val="0"/>
                <w:bCs w:val="0"/>
                <w:kern w:val="0"/>
                <w:sz w:val="22"/>
                <w:szCs w:val="22"/>
              </w:rPr>
              <w:t>分、B级得</w:t>
            </w:r>
            <w:r>
              <w:rPr>
                <w:rFonts w:hint="eastAsia" w:ascii="新宋体" w:hAnsi="新宋体" w:eastAsia="新宋体" w:cs="新宋体"/>
                <w:b w:val="0"/>
                <w:bCs w:val="0"/>
                <w:kern w:val="0"/>
                <w:sz w:val="22"/>
                <w:szCs w:val="22"/>
                <w:lang w:val="en-US" w:eastAsia="zh-CN"/>
              </w:rPr>
              <w:t>4</w:t>
            </w:r>
            <w:r>
              <w:rPr>
                <w:rFonts w:hint="eastAsia" w:ascii="新宋体" w:hAnsi="新宋体" w:eastAsia="新宋体" w:cs="新宋体"/>
                <w:b w:val="0"/>
                <w:bCs w:val="0"/>
                <w:kern w:val="0"/>
                <w:sz w:val="22"/>
                <w:szCs w:val="22"/>
              </w:rPr>
              <w:t>分、C级得</w:t>
            </w:r>
            <w:r>
              <w:rPr>
                <w:rFonts w:hint="eastAsia" w:ascii="新宋体" w:hAnsi="新宋体" w:eastAsia="新宋体" w:cs="新宋体"/>
                <w:b w:val="0"/>
                <w:bCs w:val="0"/>
                <w:kern w:val="0"/>
                <w:sz w:val="22"/>
                <w:szCs w:val="22"/>
                <w:lang w:val="en-US" w:eastAsia="zh-CN"/>
              </w:rPr>
              <w:t>2</w:t>
            </w:r>
            <w:r>
              <w:rPr>
                <w:rFonts w:hint="eastAsia" w:ascii="新宋体" w:hAnsi="新宋体" w:eastAsia="新宋体" w:cs="新宋体"/>
                <w:b w:val="0"/>
                <w:bCs w:val="0"/>
                <w:kern w:val="0"/>
                <w:sz w:val="22"/>
                <w:szCs w:val="22"/>
              </w:rPr>
              <w:t>分；企业或在阜分支机构设立未满1年按C级标准，若满一年仍未参与信用等级体系评定的，视为0分；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1170" w:type="dxa"/>
            <w:vMerge w:val="continue"/>
            <w:noWrap w:val="0"/>
            <w:vAlign w:val="center"/>
          </w:tcPr>
          <w:p>
            <w:pPr>
              <w:pStyle w:val="16"/>
              <w:spacing w:line="360" w:lineRule="auto"/>
              <w:ind w:firstLine="0" w:firstLineChars="0"/>
              <w:jc w:val="center"/>
              <w:rPr>
                <w:rFonts w:hint="eastAsia" w:ascii="新宋体" w:hAnsi="新宋体" w:eastAsia="新宋体" w:cs="新宋体"/>
                <w:sz w:val="21"/>
                <w:szCs w:val="21"/>
              </w:rPr>
            </w:pPr>
          </w:p>
        </w:tc>
        <w:tc>
          <w:tcPr>
            <w:tcW w:w="1857" w:type="dxa"/>
            <w:noWrap w:val="0"/>
            <w:vAlign w:val="center"/>
          </w:tcPr>
          <w:p>
            <w:pPr>
              <w:pStyle w:val="16"/>
              <w:spacing w:line="360" w:lineRule="auto"/>
              <w:ind w:firstLine="0" w:firstLineChars="0"/>
              <w:jc w:val="center"/>
              <w:rPr>
                <w:rFonts w:hint="eastAsia" w:ascii="新宋体" w:hAnsi="新宋体" w:eastAsia="新宋体" w:cs="新宋体"/>
                <w:kern w:val="0"/>
                <w:sz w:val="21"/>
                <w:szCs w:val="21"/>
              </w:rPr>
            </w:pPr>
            <w:r>
              <w:rPr>
                <w:rFonts w:hint="eastAsia" w:ascii="新宋体" w:hAnsi="新宋体" w:eastAsia="新宋体" w:cs="新宋体"/>
                <w:kern w:val="0"/>
                <w:sz w:val="21"/>
                <w:szCs w:val="21"/>
              </w:rPr>
              <w:t>拟派项目经理</w:t>
            </w:r>
          </w:p>
          <w:p>
            <w:pPr>
              <w:pStyle w:val="16"/>
              <w:spacing w:line="360" w:lineRule="auto"/>
              <w:ind w:firstLine="0" w:firstLineChars="0"/>
              <w:jc w:val="center"/>
              <w:rPr>
                <w:rFonts w:hint="eastAsia" w:ascii="新宋体" w:hAnsi="新宋体" w:eastAsia="新宋体" w:cs="新宋体"/>
                <w:sz w:val="21"/>
                <w:szCs w:val="21"/>
              </w:rPr>
            </w:pPr>
            <w:r>
              <w:rPr>
                <w:rFonts w:hint="eastAsia" w:ascii="新宋体" w:hAnsi="新宋体" w:eastAsia="新宋体" w:cs="新宋体"/>
                <w:kern w:val="0"/>
                <w:sz w:val="21"/>
                <w:szCs w:val="21"/>
              </w:rPr>
              <w:t>要求（</w:t>
            </w:r>
            <w:r>
              <w:rPr>
                <w:rFonts w:hint="eastAsia" w:ascii="新宋体" w:hAnsi="新宋体" w:eastAsia="新宋体" w:cs="新宋体"/>
                <w:kern w:val="0"/>
                <w:sz w:val="21"/>
                <w:szCs w:val="21"/>
                <w:lang w:val="en-US" w:eastAsia="zh-CN"/>
              </w:rPr>
              <w:t>6</w:t>
            </w:r>
            <w:r>
              <w:rPr>
                <w:rFonts w:hint="eastAsia" w:ascii="新宋体" w:hAnsi="新宋体" w:eastAsia="新宋体" w:cs="新宋体"/>
                <w:kern w:val="0"/>
                <w:sz w:val="21"/>
                <w:szCs w:val="21"/>
              </w:rPr>
              <w:t>分）</w:t>
            </w:r>
          </w:p>
        </w:tc>
        <w:tc>
          <w:tcPr>
            <w:tcW w:w="6752" w:type="dxa"/>
            <w:noWrap w:val="0"/>
            <w:vAlign w:val="center"/>
          </w:tcPr>
          <w:p>
            <w:pPr>
              <w:pStyle w:val="16"/>
              <w:spacing w:line="360" w:lineRule="auto"/>
              <w:ind w:firstLine="0" w:firstLineChars="0"/>
              <w:rPr>
                <w:rFonts w:hint="eastAsia" w:ascii="新宋体" w:hAnsi="新宋体" w:eastAsia="新宋体" w:cs="新宋体"/>
                <w:b w:val="0"/>
                <w:bCs w:val="0"/>
                <w:kern w:val="0"/>
                <w:sz w:val="22"/>
                <w:szCs w:val="22"/>
              </w:rPr>
            </w:pPr>
            <w:r>
              <w:rPr>
                <w:rFonts w:hint="eastAsia" w:ascii="新宋体" w:hAnsi="新宋体" w:eastAsia="新宋体" w:cs="新宋体"/>
                <w:b w:val="0"/>
                <w:bCs w:val="0"/>
                <w:kern w:val="0"/>
                <w:sz w:val="22"/>
                <w:szCs w:val="22"/>
              </w:rPr>
              <w:t xml:space="preserve"> </w:t>
            </w:r>
            <w:r>
              <w:rPr>
                <w:rFonts w:hint="eastAsia" w:ascii="新宋体" w:hAnsi="新宋体" w:eastAsia="新宋体" w:cs="新宋体"/>
                <w:b w:val="0"/>
                <w:bCs w:val="0"/>
                <w:kern w:val="0"/>
                <w:sz w:val="22"/>
                <w:szCs w:val="22"/>
                <w:lang w:val="en-US" w:eastAsia="zh-CN"/>
              </w:rPr>
              <w:t xml:space="preserve">   </w:t>
            </w:r>
            <w:r>
              <w:rPr>
                <w:rFonts w:hint="eastAsia" w:ascii="新宋体" w:hAnsi="新宋体" w:eastAsia="新宋体" w:cs="新宋体"/>
                <w:b w:val="0"/>
                <w:bCs w:val="0"/>
                <w:sz w:val="22"/>
                <w:szCs w:val="22"/>
              </w:rPr>
              <w:t>持国家承认学历的专科及以上学历证书、物业管理师证或物业企业经理证或项目经理证。</w:t>
            </w:r>
            <w:r>
              <w:rPr>
                <w:rFonts w:hint="eastAsia" w:ascii="新宋体" w:hAnsi="新宋体" w:eastAsia="新宋体" w:cs="新宋体"/>
                <w:b w:val="0"/>
                <w:bCs w:val="0"/>
                <w:sz w:val="22"/>
                <w:szCs w:val="22"/>
                <w:lang w:eastAsia="zh-CN"/>
              </w:rPr>
              <w:t>注：</w:t>
            </w:r>
            <w:r>
              <w:rPr>
                <w:rFonts w:hint="eastAsia" w:ascii="新宋体" w:hAnsi="新宋体" w:eastAsia="新宋体" w:cs="新宋体"/>
                <w:b w:val="0"/>
                <w:bCs w:val="0"/>
                <w:sz w:val="22"/>
                <w:szCs w:val="22"/>
              </w:rPr>
              <w:t>本项满分</w:t>
            </w:r>
            <w:r>
              <w:rPr>
                <w:rFonts w:hint="eastAsia" w:ascii="新宋体" w:hAnsi="新宋体" w:eastAsia="新宋体" w:cs="新宋体"/>
                <w:b w:val="0"/>
                <w:bCs w:val="0"/>
                <w:sz w:val="22"/>
                <w:szCs w:val="22"/>
                <w:lang w:val="en-US" w:eastAsia="zh-CN"/>
              </w:rPr>
              <w:t>6</w:t>
            </w:r>
            <w:r>
              <w:rPr>
                <w:rFonts w:hint="eastAsia" w:ascii="新宋体" w:hAnsi="新宋体" w:eastAsia="新宋体" w:cs="新宋体"/>
                <w:b w:val="0"/>
                <w:bCs w:val="0"/>
                <w:sz w:val="22"/>
                <w:szCs w:val="22"/>
              </w:rPr>
              <w:t>分，缺1项不得分。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1170" w:type="dxa"/>
            <w:vMerge w:val="restart"/>
            <w:noWrap w:val="0"/>
            <w:vAlign w:val="center"/>
          </w:tcPr>
          <w:p>
            <w:pPr>
              <w:snapToGrid w:val="0"/>
              <w:spacing w:line="360" w:lineRule="auto"/>
              <w:jc w:val="center"/>
              <w:rPr>
                <w:rFonts w:hint="eastAsia" w:ascii="新宋体" w:hAnsi="新宋体" w:eastAsia="新宋体" w:cs="新宋体"/>
                <w:kern w:val="0"/>
                <w:sz w:val="21"/>
                <w:szCs w:val="21"/>
              </w:rPr>
            </w:pPr>
          </w:p>
          <w:p>
            <w:pPr>
              <w:snapToGrid w:val="0"/>
              <w:spacing w:line="360" w:lineRule="auto"/>
              <w:jc w:val="center"/>
              <w:rPr>
                <w:rFonts w:hint="eastAsia" w:ascii="新宋体" w:hAnsi="新宋体" w:eastAsia="新宋体" w:cs="新宋体"/>
                <w:kern w:val="0"/>
                <w:sz w:val="21"/>
                <w:szCs w:val="21"/>
              </w:rPr>
            </w:pPr>
          </w:p>
          <w:p>
            <w:pPr>
              <w:snapToGrid w:val="0"/>
              <w:spacing w:line="360" w:lineRule="auto"/>
              <w:jc w:val="center"/>
              <w:rPr>
                <w:rFonts w:hint="eastAsia" w:ascii="新宋体" w:hAnsi="新宋体" w:eastAsia="新宋体" w:cs="新宋体"/>
                <w:kern w:val="0"/>
                <w:sz w:val="21"/>
                <w:szCs w:val="21"/>
              </w:rPr>
            </w:pPr>
          </w:p>
          <w:p>
            <w:pPr>
              <w:snapToGrid w:val="0"/>
              <w:spacing w:line="360" w:lineRule="auto"/>
              <w:jc w:val="center"/>
              <w:rPr>
                <w:rFonts w:hint="eastAsia" w:ascii="新宋体" w:hAnsi="新宋体" w:eastAsia="新宋体" w:cs="新宋体"/>
                <w:kern w:val="0"/>
                <w:sz w:val="21"/>
                <w:szCs w:val="21"/>
              </w:rPr>
            </w:pPr>
          </w:p>
          <w:p>
            <w:pPr>
              <w:snapToGrid w:val="0"/>
              <w:spacing w:line="360" w:lineRule="auto"/>
              <w:jc w:val="center"/>
              <w:rPr>
                <w:rFonts w:hint="eastAsia" w:ascii="新宋体" w:hAnsi="新宋体" w:eastAsia="新宋体" w:cs="新宋体"/>
                <w:kern w:val="0"/>
                <w:sz w:val="21"/>
                <w:szCs w:val="21"/>
                <w:highlight w:val="yellow"/>
              </w:rPr>
            </w:pPr>
          </w:p>
          <w:p>
            <w:pPr>
              <w:snapToGrid w:val="0"/>
              <w:spacing w:line="360" w:lineRule="auto"/>
              <w:jc w:val="center"/>
              <w:rPr>
                <w:rFonts w:hint="eastAsia" w:ascii="新宋体" w:hAnsi="新宋体" w:eastAsia="新宋体" w:cs="新宋体"/>
                <w:kern w:val="0"/>
                <w:sz w:val="21"/>
                <w:szCs w:val="21"/>
                <w:highlight w:val="yellow"/>
              </w:rPr>
            </w:pPr>
          </w:p>
          <w:p>
            <w:pPr>
              <w:snapToGrid w:val="0"/>
              <w:spacing w:line="360" w:lineRule="auto"/>
              <w:jc w:val="center"/>
              <w:rPr>
                <w:rFonts w:hint="eastAsia" w:ascii="新宋体" w:hAnsi="新宋体" w:eastAsia="新宋体" w:cs="新宋体"/>
                <w:kern w:val="0"/>
                <w:sz w:val="21"/>
                <w:szCs w:val="21"/>
                <w:highlight w:val="yellow"/>
              </w:rPr>
            </w:pPr>
          </w:p>
          <w:p>
            <w:pPr>
              <w:snapToGrid w:val="0"/>
              <w:spacing w:line="360" w:lineRule="auto"/>
              <w:jc w:val="center"/>
              <w:rPr>
                <w:rFonts w:hint="eastAsia" w:ascii="新宋体" w:hAnsi="新宋体" w:eastAsia="新宋体" w:cs="新宋体"/>
                <w:kern w:val="0"/>
                <w:sz w:val="21"/>
                <w:szCs w:val="21"/>
                <w:highlight w:val="yellow"/>
              </w:rPr>
            </w:pPr>
          </w:p>
          <w:p>
            <w:pPr>
              <w:snapToGrid w:val="0"/>
              <w:spacing w:line="360" w:lineRule="auto"/>
              <w:jc w:val="center"/>
              <w:rPr>
                <w:rFonts w:hint="eastAsia" w:ascii="新宋体" w:hAnsi="新宋体" w:eastAsia="新宋体" w:cs="新宋体"/>
                <w:kern w:val="0"/>
                <w:sz w:val="21"/>
                <w:szCs w:val="21"/>
                <w:highlight w:val="yellow"/>
              </w:rPr>
            </w:pPr>
          </w:p>
          <w:p>
            <w:pPr>
              <w:snapToGrid w:val="0"/>
              <w:spacing w:line="360" w:lineRule="auto"/>
              <w:jc w:val="center"/>
              <w:rPr>
                <w:rFonts w:hint="eastAsia" w:ascii="新宋体" w:hAnsi="新宋体" w:eastAsia="新宋体" w:cs="新宋体"/>
                <w:kern w:val="0"/>
                <w:sz w:val="21"/>
                <w:szCs w:val="21"/>
                <w:highlight w:val="yellow"/>
              </w:rPr>
            </w:pPr>
          </w:p>
          <w:p>
            <w:pPr>
              <w:snapToGrid w:val="0"/>
              <w:spacing w:line="360" w:lineRule="auto"/>
              <w:jc w:val="center"/>
              <w:rPr>
                <w:rFonts w:hint="eastAsia" w:ascii="新宋体" w:hAnsi="新宋体" w:eastAsia="新宋体" w:cs="新宋体"/>
                <w:kern w:val="0"/>
                <w:sz w:val="21"/>
                <w:szCs w:val="21"/>
                <w:highlight w:val="yellow"/>
              </w:rPr>
            </w:pPr>
          </w:p>
          <w:p>
            <w:pPr>
              <w:snapToGrid w:val="0"/>
              <w:spacing w:line="360" w:lineRule="auto"/>
              <w:jc w:val="center"/>
              <w:rPr>
                <w:rFonts w:hint="eastAsia" w:ascii="新宋体" w:hAnsi="新宋体" w:eastAsia="新宋体" w:cs="新宋体"/>
                <w:kern w:val="0"/>
                <w:sz w:val="21"/>
                <w:szCs w:val="21"/>
                <w:highlight w:val="yellow"/>
              </w:rPr>
            </w:pPr>
          </w:p>
          <w:p>
            <w:pPr>
              <w:snapToGrid w:val="0"/>
              <w:spacing w:line="360" w:lineRule="auto"/>
              <w:jc w:val="center"/>
              <w:rPr>
                <w:rFonts w:hint="eastAsia" w:ascii="新宋体" w:hAnsi="新宋体" w:eastAsia="新宋体" w:cs="新宋体"/>
                <w:kern w:val="0"/>
                <w:sz w:val="21"/>
                <w:szCs w:val="21"/>
                <w:highlight w:val="yellow"/>
              </w:rPr>
            </w:pPr>
          </w:p>
          <w:p>
            <w:pPr>
              <w:snapToGrid w:val="0"/>
              <w:spacing w:line="360" w:lineRule="auto"/>
              <w:jc w:val="center"/>
              <w:rPr>
                <w:rFonts w:hint="eastAsia" w:ascii="新宋体" w:hAnsi="新宋体" w:eastAsia="新宋体" w:cs="新宋体"/>
                <w:kern w:val="0"/>
                <w:sz w:val="22"/>
                <w:szCs w:val="22"/>
                <w:highlight w:val="none"/>
              </w:rPr>
            </w:pPr>
            <w:r>
              <w:rPr>
                <w:rFonts w:hint="eastAsia" w:ascii="新宋体" w:hAnsi="新宋体" w:eastAsia="新宋体" w:cs="新宋体"/>
                <w:kern w:val="0"/>
                <w:sz w:val="22"/>
                <w:szCs w:val="22"/>
                <w:highlight w:val="none"/>
              </w:rPr>
              <w:t>技术标</w:t>
            </w:r>
          </w:p>
          <w:p>
            <w:pPr>
              <w:pStyle w:val="16"/>
              <w:spacing w:line="360" w:lineRule="auto"/>
              <w:ind w:firstLine="0" w:firstLineChars="0"/>
              <w:jc w:val="center"/>
              <w:rPr>
                <w:rFonts w:hint="eastAsia" w:ascii="新宋体" w:hAnsi="新宋体" w:eastAsia="新宋体" w:cs="新宋体"/>
                <w:sz w:val="21"/>
                <w:szCs w:val="21"/>
              </w:rPr>
            </w:pPr>
            <w:r>
              <w:rPr>
                <w:rFonts w:hint="eastAsia" w:ascii="新宋体" w:hAnsi="新宋体" w:eastAsia="新宋体" w:cs="新宋体"/>
                <w:kern w:val="0"/>
                <w:sz w:val="22"/>
                <w:szCs w:val="22"/>
                <w:highlight w:val="none"/>
              </w:rPr>
              <w:t>（4</w:t>
            </w:r>
            <w:r>
              <w:rPr>
                <w:rFonts w:hint="eastAsia" w:ascii="新宋体" w:hAnsi="新宋体" w:eastAsia="新宋体" w:cs="新宋体"/>
                <w:kern w:val="0"/>
                <w:sz w:val="22"/>
                <w:szCs w:val="22"/>
                <w:highlight w:val="none"/>
                <w:lang w:val="en-US" w:eastAsia="zh-CN"/>
              </w:rPr>
              <w:t>0</w:t>
            </w:r>
            <w:r>
              <w:rPr>
                <w:rFonts w:hint="eastAsia" w:ascii="新宋体" w:hAnsi="新宋体" w:eastAsia="新宋体" w:cs="新宋体"/>
                <w:kern w:val="0"/>
                <w:sz w:val="22"/>
                <w:szCs w:val="22"/>
                <w:highlight w:val="none"/>
              </w:rPr>
              <w:t>分）</w:t>
            </w:r>
          </w:p>
        </w:tc>
        <w:tc>
          <w:tcPr>
            <w:tcW w:w="1857" w:type="dxa"/>
            <w:noWrap w:val="0"/>
            <w:vAlign w:val="center"/>
          </w:tcPr>
          <w:p>
            <w:pPr>
              <w:jc w:val="center"/>
              <w:rPr>
                <w:rFonts w:hint="eastAsia" w:ascii="新宋体" w:hAnsi="新宋体" w:eastAsia="新宋体" w:cs="新宋体"/>
                <w:b w:val="0"/>
                <w:bCs w:val="0"/>
                <w:color w:val="auto"/>
                <w:sz w:val="22"/>
                <w:szCs w:val="22"/>
                <w:lang w:val="en-US" w:eastAsia="zh-CN"/>
              </w:rPr>
            </w:pPr>
            <w:r>
              <w:rPr>
                <w:rFonts w:hint="eastAsia" w:ascii="新宋体" w:hAnsi="新宋体" w:eastAsia="新宋体" w:cs="新宋体"/>
                <w:b w:val="0"/>
                <w:bCs w:val="0"/>
                <w:color w:val="auto"/>
                <w:sz w:val="22"/>
                <w:szCs w:val="22"/>
                <w:lang w:val="en-US" w:eastAsia="zh-CN"/>
              </w:rPr>
              <w:t>早期介入方案</w:t>
            </w:r>
          </w:p>
          <w:p>
            <w:pPr>
              <w:jc w:val="center"/>
              <w:rPr>
                <w:rFonts w:hint="eastAsia" w:ascii="新宋体" w:hAnsi="新宋体" w:eastAsia="新宋体" w:cs="新宋体"/>
                <w:b w:val="0"/>
                <w:bCs w:val="0"/>
                <w:color w:val="auto"/>
                <w:kern w:val="0"/>
                <w:sz w:val="22"/>
                <w:szCs w:val="22"/>
              </w:rPr>
            </w:pPr>
            <w:r>
              <w:rPr>
                <w:rFonts w:hint="eastAsia" w:ascii="新宋体" w:hAnsi="新宋体" w:eastAsia="新宋体" w:cs="新宋体"/>
                <w:b w:val="0"/>
                <w:bCs w:val="0"/>
                <w:color w:val="auto"/>
                <w:sz w:val="22"/>
                <w:szCs w:val="22"/>
                <w:lang w:val="en-US" w:eastAsia="zh-CN"/>
              </w:rPr>
              <w:t>（3分）</w:t>
            </w:r>
          </w:p>
        </w:tc>
        <w:tc>
          <w:tcPr>
            <w:tcW w:w="6752" w:type="dxa"/>
            <w:noWrap w:val="0"/>
            <w:vAlign w:val="center"/>
          </w:tcPr>
          <w:p>
            <w:pPr>
              <w:spacing w:line="360" w:lineRule="auto"/>
              <w:rPr>
                <w:rFonts w:hint="eastAsia" w:ascii="新宋体" w:hAnsi="新宋体" w:eastAsia="新宋体" w:cs="新宋体"/>
                <w:b w:val="0"/>
                <w:bCs w:val="0"/>
                <w:color w:val="auto"/>
                <w:sz w:val="22"/>
                <w:szCs w:val="22"/>
                <w:lang w:eastAsia="zh-CN"/>
              </w:rPr>
            </w:pPr>
            <w:r>
              <w:rPr>
                <w:rFonts w:hint="eastAsia" w:ascii="新宋体" w:hAnsi="新宋体" w:eastAsia="新宋体" w:cs="新宋体"/>
                <w:b w:val="0"/>
                <w:bCs w:val="0"/>
                <w:color w:val="auto"/>
                <w:sz w:val="22"/>
                <w:szCs w:val="22"/>
              </w:rPr>
              <w:t>早期介入工作计划、工作内容</w:t>
            </w:r>
            <w:r>
              <w:rPr>
                <w:rFonts w:hint="eastAsia" w:ascii="新宋体" w:hAnsi="新宋体" w:eastAsia="新宋体" w:cs="新宋体"/>
                <w:b w:val="0"/>
                <w:bCs w:val="0"/>
                <w:color w:val="auto"/>
                <w:sz w:val="22"/>
                <w:szCs w:val="22"/>
                <w:lang w:eastAsia="zh-CN"/>
              </w:rPr>
              <w:t>。</w:t>
            </w:r>
          </w:p>
          <w:p>
            <w:pPr>
              <w:spacing w:line="360" w:lineRule="auto"/>
              <w:rPr>
                <w:rFonts w:hint="eastAsia" w:ascii="新宋体" w:hAnsi="新宋体" w:eastAsia="新宋体" w:cs="新宋体"/>
                <w:b w:val="0"/>
                <w:bCs w:val="0"/>
                <w:color w:val="auto"/>
                <w:sz w:val="22"/>
                <w:szCs w:val="22"/>
              </w:rPr>
            </w:pPr>
            <w:r>
              <w:rPr>
                <w:rFonts w:hint="eastAsia" w:ascii="新宋体" w:hAnsi="新宋体" w:eastAsia="新宋体" w:cs="新宋体"/>
                <w:b w:val="0"/>
                <w:bCs w:val="0"/>
                <w:color w:val="auto"/>
                <w:sz w:val="22"/>
                <w:szCs w:val="22"/>
              </w:rPr>
              <w:t>合理可行的得</w:t>
            </w:r>
            <w:r>
              <w:rPr>
                <w:rFonts w:hint="eastAsia" w:ascii="新宋体" w:hAnsi="新宋体" w:eastAsia="新宋体" w:cs="新宋体"/>
                <w:b w:val="0"/>
                <w:bCs w:val="0"/>
                <w:color w:val="auto"/>
                <w:sz w:val="22"/>
                <w:szCs w:val="22"/>
                <w:lang w:val="en-US" w:eastAsia="zh-CN"/>
              </w:rPr>
              <w:t>3</w:t>
            </w:r>
            <w:r>
              <w:rPr>
                <w:rFonts w:hint="eastAsia" w:ascii="新宋体" w:hAnsi="新宋体" w:eastAsia="新宋体" w:cs="新宋体"/>
                <w:b w:val="0"/>
                <w:bCs w:val="0"/>
                <w:color w:val="auto"/>
                <w:sz w:val="22"/>
                <w:szCs w:val="22"/>
              </w:rPr>
              <w:t>分；基本合理可行的得</w:t>
            </w:r>
            <w:r>
              <w:rPr>
                <w:rFonts w:hint="eastAsia" w:ascii="新宋体" w:hAnsi="新宋体" w:eastAsia="新宋体" w:cs="新宋体"/>
                <w:b w:val="0"/>
                <w:bCs w:val="0"/>
                <w:color w:val="auto"/>
                <w:sz w:val="22"/>
                <w:szCs w:val="22"/>
                <w:lang w:val="en-US" w:eastAsia="zh-CN"/>
              </w:rPr>
              <w:t>2</w:t>
            </w:r>
            <w:r>
              <w:rPr>
                <w:rFonts w:hint="eastAsia" w:ascii="新宋体" w:hAnsi="新宋体" w:eastAsia="新宋体" w:cs="新宋体"/>
                <w:b w:val="0"/>
                <w:bCs w:val="0"/>
                <w:color w:val="auto"/>
                <w:sz w:val="22"/>
                <w:szCs w:val="22"/>
              </w:rPr>
              <w:t>分；欠合理或不完整的得</w:t>
            </w:r>
            <w:r>
              <w:rPr>
                <w:rFonts w:hint="eastAsia" w:ascii="新宋体" w:hAnsi="新宋体" w:eastAsia="新宋体" w:cs="新宋体"/>
                <w:b w:val="0"/>
                <w:bCs w:val="0"/>
                <w:color w:val="auto"/>
                <w:sz w:val="22"/>
                <w:szCs w:val="22"/>
                <w:lang w:val="en-US" w:eastAsia="zh-CN"/>
              </w:rPr>
              <w:t>1</w:t>
            </w:r>
            <w:r>
              <w:rPr>
                <w:rFonts w:hint="eastAsia" w:ascii="新宋体" w:hAnsi="新宋体" w:eastAsia="新宋体" w:cs="新宋体"/>
                <w:b w:val="0"/>
                <w:bCs w:val="0"/>
                <w:color w:val="auto"/>
                <w:sz w:val="22"/>
                <w:szCs w:val="22"/>
              </w:rPr>
              <w:t>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170" w:type="dxa"/>
            <w:vMerge w:val="continue"/>
            <w:noWrap w:val="0"/>
            <w:vAlign w:val="center"/>
          </w:tcPr>
          <w:p>
            <w:pPr>
              <w:pStyle w:val="16"/>
              <w:spacing w:line="360" w:lineRule="auto"/>
              <w:ind w:firstLine="0" w:firstLineChars="0"/>
              <w:jc w:val="center"/>
              <w:rPr>
                <w:rFonts w:hint="eastAsia" w:ascii="新宋体" w:hAnsi="新宋体" w:eastAsia="新宋体" w:cs="新宋体"/>
                <w:sz w:val="21"/>
                <w:szCs w:val="21"/>
              </w:rPr>
            </w:pPr>
          </w:p>
        </w:tc>
        <w:tc>
          <w:tcPr>
            <w:tcW w:w="1857" w:type="dxa"/>
            <w:noWrap w:val="0"/>
            <w:vAlign w:val="center"/>
          </w:tcPr>
          <w:p>
            <w:pPr>
              <w:jc w:val="center"/>
              <w:rPr>
                <w:rFonts w:hint="eastAsia" w:ascii="新宋体" w:hAnsi="新宋体" w:eastAsia="新宋体" w:cs="新宋体"/>
                <w:b w:val="0"/>
                <w:bCs w:val="0"/>
                <w:color w:val="auto"/>
                <w:sz w:val="22"/>
                <w:szCs w:val="22"/>
              </w:rPr>
            </w:pPr>
            <w:r>
              <w:rPr>
                <w:rFonts w:hint="eastAsia" w:ascii="新宋体" w:hAnsi="新宋体" w:eastAsia="新宋体" w:cs="新宋体"/>
                <w:b w:val="0"/>
                <w:bCs w:val="0"/>
                <w:color w:val="auto"/>
                <w:sz w:val="22"/>
                <w:szCs w:val="22"/>
              </w:rPr>
              <w:t>物业服务内容及标准</w:t>
            </w:r>
            <w:r>
              <w:rPr>
                <w:rFonts w:hint="eastAsia" w:ascii="新宋体" w:hAnsi="新宋体" w:eastAsia="新宋体" w:cs="新宋体"/>
                <w:b w:val="0"/>
                <w:bCs w:val="0"/>
                <w:color w:val="auto"/>
                <w:sz w:val="22"/>
                <w:szCs w:val="22"/>
                <w:lang w:eastAsia="zh-CN"/>
              </w:rPr>
              <w:t>（</w:t>
            </w:r>
            <w:r>
              <w:rPr>
                <w:rFonts w:hint="eastAsia" w:ascii="新宋体" w:hAnsi="新宋体" w:eastAsia="新宋体" w:cs="新宋体"/>
                <w:b w:val="0"/>
                <w:bCs w:val="0"/>
                <w:color w:val="auto"/>
                <w:sz w:val="22"/>
                <w:szCs w:val="22"/>
                <w:lang w:val="en-US" w:eastAsia="zh-CN"/>
              </w:rPr>
              <w:t>3分</w:t>
            </w:r>
            <w:r>
              <w:rPr>
                <w:rFonts w:hint="eastAsia" w:ascii="新宋体" w:hAnsi="新宋体" w:eastAsia="新宋体" w:cs="新宋体"/>
                <w:b w:val="0"/>
                <w:bCs w:val="0"/>
                <w:color w:val="auto"/>
                <w:sz w:val="22"/>
                <w:szCs w:val="22"/>
                <w:lang w:eastAsia="zh-CN"/>
              </w:rPr>
              <w:t>）</w:t>
            </w:r>
          </w:p>
        </w:tc>
        <w:tc>
          <w:tcPr>
            <w:tcW w:w="6752" w:type="dxa"/>
            <w:noWrap w:val="0"/>
            <w:vAlign w:val="center"/>
          </w:tcPr>
          <w:p>
            <w:pPr>
              <w:spacing w:line="240" w:lineRule="auto"/>
              <w:jc w:val="left"/>
              <w:rPr>
                <w:rFonts w:hint="eastAsia" w:ascii="新宋体" w:hAnsi="新宋体" w:eastAsia="新宋体" w:cs="新宋体"/>
                <w:b w:val="0"/>
                <w:bCs w:val="0"/>
                <w:color w:val="auto"/>
                <w:sz w:val="22"/>
                <w:szCs w:val="22"/>
              </w:rPr>
            </w:pPr>
            <w:r>
              <w:rPr>
                <w:rFonts w:hint="eastAsia" w:ascii="新宋体" w:hAnsi="新宋体" w:eastAsia="新宋体" w:cs="新宋体"/>
                <w:b w:val="0"/>
                <w:bCs w:val="0"/>
                <w:color w:val="auto"/>
                <w:sz w:val="22"/>
                <w:szCs w:val="22"/>
              </w:rPr>
              <w:t>按住宅物业服务等级标准制订。</w:t>
            </w:r>
          </w:p>
          <w:p>
            <w:pPr>
              <w:spacing w:line="240" w:lineRule="auto"/>
              <w:jc w:val="left"/>
              <w:rPr>
                <w:rFonts w:hint="eastAsia" w:ascii="新宋体" w:hAnsi="新宋体" w:eastAsia="新宋体" w:cs="新宋体"/>
                <w:b w:val="0"/>
                <w:bCs w:val="0"/>
                <w:color w:val="auto"/>
                <w:sz w:val="22"/>
                <w:szCs w:val="22"/>
              </w:rPr>
            </w:pPr>
            <w:r>
              <w:rPr>
                <w:rFonts w:hint="eastAsia" w:ascii="新宋体" w:hAnsi="新宋体" w:eastAsia="新宋体" w:cs="新宋体"/>
                <w:b w:val="0"/>
                <w:bCs w:val="0"/>
                <w:color w:val="auto"/>
                <w:sz w:val="22"/>
                <w:szCs w:val="22"/>
              </w:rPr>
              <w:t>合理可行的得</w:t>
            </w:r>
            <w:r>
              <w:rPr>
                <w:rFonts w:hint="eastAsia" w:ascii="新宋体" w:hAnsi="新宋体" w:eastAsia="新宋体" w:cs="新宋体"/>
                <w:b w:val="0"/>
                <w:bCs w:val="0"/>
                <w:color w:val="auto"/>
                <w:sz w:val="22"/>
                <w:szCs w:val="22"/>
                <w:lang w:val="en-US" w:eastAsia="zh-CN"/>
              </w:rPr>
              <w:t>3</w:t>
            </w:r>
            <w:r>
              <w:rPr>
                <w:rFonts w:hint="eastAsia" w:ascii="新宋体" w:hAnsi="新宋体" w:eastAsia="新宋体" w:cs="新宋体"/>
                <w:b w:val="0"/>
                <w:bCs w:val="0"/>
                <w:color w:val="auto"/>
                <w:sz w:val="22"/>
                <w:szCs w:val="22"/>
              </w:rPr>
              <w:t>分；基本合理可行的得</w:t>
            </w:r>
            <w:r>
              <w:rPr>
                <w:rFonts w:hint="eastAsia" w:ascii="新宋体" w:hAnsi="新宋体" w:eastAsia="新宋体" w:cs="新宋体"/>
                <w:b w:val="0"/>
                <w:bCs w:val="0"/>
                <w:color w:val="auto"/>
                <w:sz w:val="22"/>
                <w:szCs w:val="22"/>
                <w:lang w:val="en-US" w:eastAsia="zh-CN"/>
              </w:rPr>
              <w:t>2</w:t>
            </w:r>
            <w:r>
              <w:rPr>
                <w:rFonts w:hint="eastAsia" w:ascii="新宋体" w:hAnsi="新宋体" w:eastAsia="新宋体" w:cs="新宋体"/>
                <w:b w:val="0"/>
                <w:bCs w:val="0"/>
                <w:color w:val="auto"/>
                <w:sz w:val="22"/>
                <w:szCs w:val="22"/>
              </w:rPr>
              <w:t>分；欠合理或不完整的得</w:t>
            </w:r>
            <w:r>
              <w:rPr>
                <w:rFonts w:hint="eastAsia" w:ascii="新宋体" w:hAnsi="新宋体" w:eastAsia="新宋体" w:cs="新宋体"/>
                <w:b w:val="0"/>
                <w:bCs w:val="0"/>
                <w:color w:val="auto"/>
                <w:sz w:val="22"/>
                <w:szCs w:val="22"/>
                <w:lang w:val="en-US" w:eastAsia="zh-CN"/>
              </w:rPr>
              <w:t>1</w:t>
            </w:r>
            <w:r>
              <w:rPr>
                <w:rFonts w:hint="eastAsia" w:ascii="新宋体" w:hAnsi="新宋体" w:eastAsia="新宋体" w:cs="新宋体"/>
                <w:b w:val="0"/>
                <w:bCs w:val="0"/>
                <w:color w:val="auto"/>
                <w:sz w:val="22"/>
                <w:szCs w:val="22"/>
              </w:rPr>
              <w:t>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170" w:type="dxa"/>
            <w:vMerge w:val="continue"/>
            <w:noWrap w:val="0"/>
            <w:vAlign w:val="center"/>
          </w:tcPr>
          <w:p>
            <w:pPr>
              <w:pStyle w:val="16"/>
              <w:spacing w:line="360" w:lineRule="auto"/>
              <w:ind w:firstLine="0" w:firstLineChars="0"/>
              <w:jc w:val="center"/>
              <w:rPr>
                <w:rFonts w:hint="eastAsia" w:ascii="新宋体" w:hAnsi="新宋体" w:eastAsia="新宋体" w:cs="新宋体"/>
                <w:sz w:val="21"/>
                <w:szCs w:val="21"/>
              </w:rPr>
            </w:pPr>
          </w:p>
        </w:tc>
        <w:tc>
          <w:tcPr>
            <w:tcW w:w="1857" w:type="dxa"/>
            <w:noWrap w:val="0"/>
            <w:vAlign w:val="center"/>
          </w:tcPr>
          <w:p>
            <w:pPr>
              <w:jc w:val="center"/>
              <w:rPr>
                <w:rFonts w:hint="eastAsia" w:ascii="新宋体" w:hAnsi="新宋体" w:eastAsia="新宋体" w:cs="新宋体"/>
                <w:b w:val="0"/>
                <w:bCs w:val="0"/>
                <w:color w:val="auto"/>
                <w:sz w:val="22"/>
                <w:szCs w:val="22"/>
              </w:rPr>
            </w:pPr>
            <w:r>
              <w:rPr>
                <w:rFonts w:hint="eastAsia" w:ascii="新宋体" w:hAnsi="新宋体" w:eastAsia="新宋体" w:cs="新宋体"/>
                <w:b w:val="0"/>
                <w:bCs w:val="0"/>
                <w:color w:val="auto"/>
                <w:sz w:val="22"/>
                <w:szCs w:val="22"/>
              </w:rPr>
              <w:t>物业服务费测算分析（3分）</w:t>
            </w:r>
          </w:p>
        </w:tc>
        <w:tc>
          <w:tcPr>
            <w:tcW w:w="6752" w:type="dxa"/>
            <w:noWrap w:val="0"/>
            <w:vAlign w:val="center"/>
          </w:tcPr>
          <w:p>
            <w:pPr>
              <w:spacing w:line="360" w:lineRule="auto"/>
              <w:jc w:val="left"/>
              <w:rPr>
                <w:rFonts w:hint="eastAsia" w:ascii="新宋体" w:hAnsi="新宋体" w:eastAsia="新宋体" w:cs="新宋体"/>
                <w:b w:val="0"/>
                <w:bCs w:val="0"/>
                <w:color w:val="auto"/>
                <w:sz w:val="22"/>
                <w:szCs w:val="22"/>
              </w:rPr>
            </w:pPr>
            <w:r>
              <w:rPr>
                <w:rFonts w:hint="eastAsia" w:ascii="新宋体" w:hAnsi="新宋体" w:eastAsia="新宋体" w:cs="新宋体"/>
                <w:b w:val="0"/>
                <w:bCs w:val="0"/>
                <w:color w:val="auto"/>
                <w:sz w:val="22"/>
                <w:szCs w:val="22"/>
              </w:rPr>
              <w:t>有量化计算过程。</w:t>
            </w:r>
          </w:p>
          <w:p>
            <w:pPr>
              <w:spacing w:line="360" w:lineRule="auto"/>
              <w:jc w:val="left"/>
              <w:rPr>
                <w:rFonts w:hint="eastAsia" w:ascii="新宋体" w:hAnsi="新宋体" w:eastAsia="新宋体" w:cs="新宋体"/>
                <w:b w:val="0"/>
                <w:bCs w:val="0"/>
                <w:color w:val="auto"/>
                <w:kern w:val="0"/>
                <w:sz w:val="22"/>
                <w:szCs w:val="22"/>
              </w:rPr>
            </w:pPr>
            <w:r>
              <w:rPr>
                <w:rFonts w:hint="eastAsia" w:ascii="新宋体" w:hAnsi="新宋体" w:eastAsia="新宋体" w:cs="新宋体"/>
                <w:b w:val="0"/>
                <w:bCs w:val="0"/>
                <w:color w:val="auto"/>
                <w:sz w:val="22"/>
                <w:szCs w:val="22"/>
              </w:rPr>
              <w:t>合理可行的得3分；基本合理可行的得2分；欠合理或不完整的得1分；没有不得分。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170" w:type="dxa"/>
            <w:vMerge w:val="continue"/>
            <w:noWrap w:val="0"/>
            <w:vAlign w:val="center"/>
          </w:tcPr>
          <w:p>
            <w:pPr>
              <w:pStyle w:val="16"/>
              <w:spacing w:line="360" w:lineRule="auto"/>
              <w:ind w:firstLine="0" w:firstLineChars="0"/>
              <w:jc w:val="center"/>
              <w:rPr>
                <w:rFonts w:hint="eastAsia" w:ascii="新宋体" w:hAnsi="新宋体" w:eastAsia="新宋体" w:cs="新宋体"/>
                <w:sz w:val="21"/>
                <w:szCs w:val="21"/>
              </w:rPr>
            </w:pPr>
          </w:p>
        </w:tc>
        <w:tc>
          <w:tcPr>
            <w:tcW w:w="1857" w:type="dxa"/>
            <w:noWrap w:val="0"/>
            <w:vAlign w:val="center"/>
          </w:tcPr>
          <w:p>
            <w:pPr>
              <w:jc w:val="center"/>
              <w:rPr>
                <w:rFonts w:hint="eastAsia" w:ascii="新宋体" w:hAnsi="新宋体" w:eastAsia="新宋体" w:cs="新宋体"/>
                <w:b w:val="0"/>
                <w:bCs w:val="0"/>
                <w:color w:val="auto"/>
                <w:sz w:val="22"/>
                <w:szCs w:val="22"/>
              </w:rPr>
            </w:pPr>
            <w:r>
              <w:rPr>
                <w:rFonts w:hint="eastAsia" w:ascii="新宋体" w:hAnsi="新宋体" w:eastAsia="新宋体" w:cs="新宋体"/>
                <w:b w:val="0"/>
                <w:bCs w:val="0"/>
                <w:color w:val="auto"/>
                <w:sz w:val="22"/>
                <w:szCs w:val="22"/>
              </w:rPr>
              <w:t>服务理念及特色（</w:t>
            </w:r>
            <w:r>
              <w:rPr>
                <w:rFonts w:hint="eastAsia" w:ascii="新宋体" w:hAnsi="新宋体" w:eastAsia="新宋体" w:cs="新宋体"/>
                <w:b w:val="0"/>
                <w:bCs w:val="0"/>
                <w:color w:val="auto"/>
                <w:sz w:val="22"/>
                <w:szCs w:val="22"/>
                <w:lang w:val="en-US" w:eastAsia="zh-CN"/>
              </w:rPr>
              <w:t>4</w:t>
            </w:r>
            <w:r>
              <w:rPr>
                <w:rFonts w:hint="eastAsia" w:ascii="新宋体" w:hAnsi="新宋体" w:eastAsia="新宋体" w:cs="新宋体"/>
                <w:b w:val="0"/>
                <w:bCs w:val="0"/>
                <w:color w:val="auto"/>
                <w:sz w:val="22"/>
                <w:szCs w:val="22"/>
              </w:rPr>
              <w:t>分）</w:t>
            </w:r>
          </w:p>
        </w:tc>
        <w:tc>
          <w:tcPr>
            <w:tcW w:w="6752" w:type="dxa"/>
            <w:noWrap w:val="0"/>
            <w:vAlign w:val="center"/>
          </w:tcPr>
          <w:p>
            <w:pPr>
              <w:spacing w:line="360" w:lineRule="auto"/>
              <w:jc w:val="left"/>
              <w:rPr>
                <w:rFonts w:hint="eastAsia" w:ascii="新宋体" w:hAnsi="新宋体" w:eastAsia="新宋体" w:cs="新宋体"/>
                <w:b w:val="0"/>
                <w:bCs w:val="0"/>
                <w:color w:val="auto"/>
                <w:sz w:val="22"/>
                <w:szCs w:val="22"/>
              </w:rPr>
            </w:pPr>
            <w:r>
              <w:rPr>
                <w:rFonts w:hint="eastAsia" w:ascii="新宋体" w:hAnsi="新宋体" w:eastAsia="新宋体" w:cs="新宋体"/>
                <w:b w:val="0"/>
                <w:bCs w:val="0"/>
                <w:color w:val="auto"/>
                <w:sz w:val="22"/>
                <w:szCs w:val="22"/>
              </w:rPr>
              <w:t>对本物业有详细、客观分析，且分析合理，有针对性。</w:t>
            </w:r>
          </w:p>
          <w:p>
            <w:pPr>
              <w:spacing w:line="360" w:lineRule="auto"/>
              <w:jc w:val="left"/>
              <w:rPr>
                <w:rFonts w:hint="eastAsia" w:ascii="新宋体" w:hAnsi="新宋体" w:eastAsia="新宋体" w:cs="新宋体"/>
                <w:b w:val="0"/>
                <w:bCs w:val="0"/>
                <w:color w:val="auto"/>
                <w:kern w:val="0"/>
                <w:sz w:val="22"/>
                <w:szCs w:val="22"/>
              </w:rPr>
            </w:pPr>
            <w:r>
              <w:rPr>
                <w:rFonts w:hint="eastAsia" w:ascii="新宋体" w:hAnsi="新宋体" w:eastAsia="新宋体" w:cs="新宋体"/>
                <w:b w:val="0"/>
                <w:bCs w:val="0"/>
                <w:color w:val="auto"/>
                <w:sz w:val="22"/>
                <w:szCs w:val="22"/>
              </w:rPr>
              <w:t>合理可行的得</w:t>
            </w:r>
            <w:r>
              <w:rPr>
                <w:rFonts w:hint="eastAsia" w:ascii="新宋体" w:hAnsi="新宋体" w:eastAsia="新宋体" w:cs="新宋体"/>
                <w:b w:val="0"/>
                <w:bCs w:val="0"/>
                <w:color w:val="auto"/>
                <w:sz w:val="22"/>
                <w:szCs w:val="22"/>
                <w:lang w:val="en-US" w:eastAsia="zh-CN"/>
              </w:rPr>
              <w:t>4</w:t>
            </w:r>
            <w:r>
              <w:rPr>
                <w:rFonts w:hint="eastAsia" w:ascii="新宋体" w:hAnsi="新宋体" w:eastAsia="新宋体" w:cs="新宋体"/>
                <w:b w:val="0"/>
                <w:bCs w:val="0"/>
                <w:color w:val="auto"/>
                <w:sz w:val="22"/>
                <w:szCs w:val="22"/>
              </w:rPr>
              <w:t>分；基本合理可行的得2分；欠合理或不完整的得1分；没有不得分。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170" w:type="dxa"/>
            <w:vMerge w:val="continue"/>
            <w:noWrap w:val="0"/>
            <w:vAlign w:val="center"/>
          </w:tcPr>
          <w:p>
            <w:pPr>
              <w:pStyle w:val="16"/>
              <w:spacing w:line="360" w:lineRule="auto"/>
              <w:ind w:firstLine="0" w:firstLineChars="0"/>
              <w:jc w:val="center"/>
              <w:rPr>
                <w:rFonts w:hint="eastAsia" w:ascii="新宋体" w:hAnsi="新宋体" w:eastAsia="新宋体" w:cs="新宋体"/>
                <w:sz w:val="21"/>
                <w:szCs w:val="21"/>
              </w:rPr>
            </w:pPr>
          </w:p>
        </w:tc>
        <w:tc>
          <w:tcPr>
            <w:tcW w:w="1857" w:type="dxa"/>
            <w:noWrap w:val="0"/>
            <w:vAlign w:val="center"/>
          </w:tcPr>
          <w:p>
            <w:pPr>
              <w:jc w:val="center"/>
              <w:rPr>
                <w:rFonts w:hint="eastAsia" w:ascii="新宋体" w:hAnsi="新宋体" w:eastAsia="新宋体" w:cs="新宋体"/>
                <w:b w:val="0"/>
                <w:bCs w:val="0"/>
                <w:color w:val="auto"/>
                <w:sz w:val="22"/>
                <w:szCs w:val="22"/>
              </w:rPr>
            </w:pPr>
            <w:r>
              <w:rPr>
                <w:rFonts w:hint="eastAsia" w:ascii="新宋体" w:hAnsi="新宋体" w:eastAsia="新宋体" w:cs="新宋体"/>
                <w:b w:val="0"/>
                <w:bCs w:val="0"/>
                <w:color w:val="auto"/>
                <w:sz w:val="22"/>
                <w:szCs w:val="22"/>
              </w:rPr>
              <w:t>机构设置及制度（3分）</w:t>
            </w:r>
          </w:p>
        </w:tc>
        <w:tc>
          <w:tcPr>
            <w:tcW w:w="6752" w:type="dxa"/>
            <w:noWrap w:val="0"/>
            <w:vAlign w:val="center"/>
          </w:tcPr>
          <w:p>
            <w:pPr>
              <w:spacing w:line="360" w:lineRule="auto"/>
              <w:jc w:val="left"/>
              <w:rPr>
                <w:rFonts w:hint="eastAsia" w:ascii="新宋体" w:hAnsi="新宋体" w:eastAsia="新宋体" w:cs="新宋体"/>
                <w:b w:val="0"/>
                <w:bCs w:val="0"/>
                <w:color w:val="auto"/>
                <w:sz w:val="22"/>
                <w:szCs w:val="22"/>
              </w:rPr>
            </w:pPr>
            <w:r>
              <w:rPr>
                <w:rFonts w:hint="eastAsia" w:ascii="新宋体" w:hAnsi="新宋体" w:eastAsia="新宋体" w:cs="新宋体"/>
                <w:b w:val="0"/>
                <w:bCs w:val="0"/>
                <w:color w:val="auto"/>
                <w:sz w:val="22"/>
                <w:szCs w:val="22"/>
              </w:rPr>
              <w:t>机构设置清晰，制度规范。</w:t>
            </w:r>
          </w:p>
          <w:p>
            <w:pPr>
              <w:spacing w:line="360" w:lineRule="auto"/>
              <w:jc w:val="left"/>
              <w:rPr>
                <w:rFonts w:hint="eastAsia" w:ascii="新宋体" w:hAnsi="新宋体" w:eastAsia="新宋体" w:cs="新宋体"/>
                <w:b w:val="0"/>
                <w:bCs w:val="0"/>
                <w:color w:val="auto"/>
                <w:kern w:val="0"/>
                <w:sz w:val="22"/>
                <w:szCs w:val="22"/>
              </w:rPr>
            </w:pPr>
            <w:r>
              <w:rPr>
                <w:rFonts w:hint="eastAsia" w:ascii="新宋体" w:hAnsi="新宋体" w:eastAsia="新宋体" w:cs="新宋体"/>
                <w:b w:val="0"/>
                <w:bCs w:val="0"/>
                <w:color w:val="auto"/>
                <w:sz w:val="22"/>
                <w:szCs w:val="22"/>
              </w:rPr>
              <w:t>合理可行的得3分；基本合理可行的得2分；欠合理或不完整的得1分；没有不得分。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170" w:type="dxa"/>
            <w:vMerge w:val="continue"/>
            <w:noWrap w:val="0"/>
            <w:vAlign w:val="center"/>
          </w:tcPr>
          <w:p>
            <w:pPr>
              <w:pStyle w:val="16"/>
              <w:spacing w:line="360" w:lineRule="auto"/>
              <w:ind w:firstLine="0" w:firstLineChars="0"/>
              <w:jc w:val="center"/>
              <w:rPr>
                <w:rFonts w:hint="eastAsia" w:ascii="新宋体" w:hAnsi="新宋体" w:eastAsia="新宋体" w:cs="新宋体"/>
                <w:sz w:val="21"/>
                <w:szCs w:val="21"/>
              </w:rPr>
            </w:pPr>
          </w:p>
        </w:tc>
        <w:tc>
          <w:tcPr>
            <w:tcW w:w="1857" w:type="dxa"/>
            <w:noWrap w:val="0"/>
            <w:vAlign w:val="center"/>
          </w:tcPr>
          <w:p>
            <w:pPr>
              <w:jc w:val="center"/>
              <w:rPr>
                <w:rFonts w:hint="eastAsia" w:ascii="新宋体" w:hAnsi="新宋体" w:eastAsia="新宋体" w:cs="新宋体"/>
                <w:b w:val="0"/>
                <w:bCs w:val="0"/>
                <w:color w:val="auto"/>
                <w:sz w:val="22"/>
                <w:szCs w:val="22"/>
              </w:rPr>
            </w:pPr>
            <w:r>
              <w:rPr>
                <w:rFonts w:hint="eastAsia" w:ascii="新宋体" w:hAnsi="新宋体" w:eastAsia="新宋体" w:cs="新宋体"/>
                <w:b w:val="0"/>
                <w:bCs w:val="0"/>
                <w:color w:val="auto"/>
                <w:sz w:val="22"/>
                <w:szCs w:val="22"/>
              </w:rPr>
              <w:t>人员配置及培训计划</w:t>
            </w:r>
            <w:r>
              <w:rPr>
                <w:rFonts w:hint="eastAsia" w:ascii="新宋体" w:hAnsi="新宋体" w:eastAsia="新宋体" w:cs="新宋体"/>
                <w:b w:val="0"/>
                <w:bCs w:val="0"/>
                <w:color w:val="auto"/>
                <w:sz w:val="22"/>
                <w:szCs w:val="22"/>
                <w:lang w:eastAsia="zh-CN"/>
              </w:rPr>
              <w:t>（</w:t>
            </w:r>
            <w:r>
              <w:rPr>
                <w:rFonts w:hint="eastAsia" w:ascii="新宋体" w:hAnsi="新宋体" w:eastAsia="新宋体" w:cs="新宋体"/>
                <w:b w:val="0"/>
                <w:bCs w:val="0"/>
                <w:color w:val="auto"/>
                <w:sz w:val="22"/>
                <w:szCs w:val="22"/>
                <w:lang w:val="en-US" w:eastAsia="zh-CN"/>
              </w:rPr>
              <w:t>3</w:t>
            </w:r>
            <w:r>
              <w:rPr>
                <w:rFonts w:hint="eastAsia" w:ascii="新宋体" w:hAnsi="新宋体" w:eastAsia="新宋体" w:cs="新宋体"/>
                <w:b w:val="0"/>
                <w:bCs w:val="0"/>
                <w:color w:val="auto"/>
                <w:sz w:val="22"/>
                <w:szCs w:val="22"/>
              </w:rPr>
              <w:t>分）</w:t>
            </w:r>
          </w:p>
        </w:tc>
        <w:tc>
          <w:tcPr>
            <w:tcW w:w="6752" w:type="dxa"/>
            <w:noWrap w:val="0"/>
            <w:vAlign w:val="center"/>
          </w:tcPr>
          <w:p>
            <w:pPr>
              <w:spacing w:line="360" w:lineRule="auto"/>
              <w:jc w:val="left"/>
              <w:rPr>
                <w:rFonts w:hint="eastAsia" w:ascii="新宋体" w:hAnsi="新宋体" w:eastAsia="新宋体" w:cs="新宋体"/>
                <w:b w:val="0"/>
                <w:bCs w:val="0"/>
                <w:color w:val="auto"/>
                <w:sz w:val="22"/>
                <w:szCs w:val="22"/>
              </w:rPr>
            </w:pPr>
            <w:r>
              <w:rPr>
                <w:rFonts w:hint="eastAsia" w:ascii="新宋体" w:hAnsi="新宋体" w:eastAsia="新宋体" w:cs="新宋体"/>
                <w:b w:val="0"/>
                <w:bCs w:val="0"/>
                <w:color w:val="auto"/>
                <w:sz w:val="22"/>
                <w:szCs w:val="22"/>
              </w:rPr>
              <w:t>人员配置合理、培训计划周全。</w:t>
            </w:r>
          </w:p>
          <w:p>
            <w:pPr>
              <w:spacing w:line="360" w:lineRule="auto"/>
              <w:jc w:val="left"/>
              <w:rPr>
                <w:rFonts w:hint="eastAsia" w:ascii="新宋体" w:hAnsi="新宋体" w:eastAsia="新宋体" w:cs="新宋体"/>
                <w:b w:val="0"/>
                <w:bCs w:val="0"/>
                <w:color w:val="auto"/>
                <w:kern w:val="0"/>
                <w:sz w:val="22"/>
                <w:szCs w:val="22"/>
              </w:rPr>
            </w:pPr>
            <w:r>
              <w:rPr>
                <w:rFonts w:hint="eastAsia" w:ascii="新宋体" w:hAnsi="新宋体" w:eastAsia="新宋体" w:cs="新宋体"/>
                <w:b w:val="0"/>
                <w:bCs w:val="0"/>
                <w:color w:val="auto"/>
                <w:sz w:val="22"/>
                <w:szCs w:val="22"/>
              </w:rPr>
              <w:t>合理可行的得</w:t>
            </w:r>
            <w:r>
              <w:rPr>
                <w:rFonts w:hint="eastAsia" w:ascii="新宋体" w:hAnsi="新宋体" w:eastAsia="新宋体" w:cs="新宋体"/>
                <w:b w:val="0"/>
                <w:bCs w:val="0"/>
                <w:color w:val="auto"/>
                <w:sz w:val="22"/>
                <w:szCs w:val="22"/>
                <w:lang w:val="en-US" w:eastAsia="zh-CN"/>
              </w:rPr>
              <w:t>3</w:t>
            </w:r>
            <w:r>
              <w:rPr>
                <w:rFonts w:hint="eastAsia" w:ascii="新宋体" w:hAnsi="新宋体" w:eastAsia="新宋体" w:cs="新宋体"/>
                <w:b w:val="0"/>
                <w:bCs w:val="0"/>
                <w:color w:val="auto"/>
                <w:sz w:val="22"/>
                <w:szCs w:val="22"/>
              </w:rPr>
              <w:t>分；基本合理可行的得</w:t>
            </w:r>
            <w:r>
              <w:rPr>
                <w:rFonts w:hint="eastAsia" w:ascii="新宋体" w:hAnsi="新宋体" w:eastAsia="新宋体" w:cs="新宋体"/>
                <w:b w:val="0"/>
                <w:bCs w:val="0"/>
                <w:color w:val="auto"/>
                <w:sz w:val="22"/>
                <w:szCs w:val="22"/>
                <w:lang w:val="en-US" w:eastAsia="zh-CN"/>
              </w:rPr>
              <w:t>2</w:t>
            </w:r>
            <w:r>
              <w:rPr>
                <w:rFonts w:hint="eastAsia" w:ascii="新宋体" w:hAnsi="新宋体" w:eastAsia="新宋体" w:cs="新宋体"/>
                <w:b w:val="0"/>
                <w:bCs w:val="0"/>
                <w:color w:val="auto"/>
                <w:sz w:val="22"/>
                <w:szCs w:val="22"/>
              </w:rPr>
              <w:t>分；欠合理或不完整的得</w:t>
            </w:r>
            <w:r>
              <w:rPr>
                <w:rFonts w:hint="eastAsia" w:ascii="新宋体" w:hAnsi="新宋体" w:eastAsia="新宋体" w:cs="新宋体"/>
                <w:b w:val="0"/>
                <w:bCs w:val="0"/>
                <w:color w:val="auto"/>
                <w:sz w:val="22"/>
                <w:szCs w:val="22"/>
                <w:lang w:val="en-US" w:eastAsia="zh-CN"/>
              </w:rPr>
              <w:t>1</w:t>
            </w:r>
            <w:r>
              <w:rPr>
                <w:rFonts w:hint="eastAsia" w:ascii="新宋体" w:hAnsi="新宋体" w:eastAsia="新宋体" w:cs="新宋体"/>
                <w:b w:val="0"/>
                <w:bCs w:val="0"/>
                <w:color w:val="auto"/>
                <w:sz w:val="22"/>
                <w:szCs w:val="22"/>
              </w:rPr>
              <w:t>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170" w:type="dxa"/>
            <w:vMerge w:val="continue"/>
            <w:noWrap w:val="0"/>
            <w:vAlign w:val="center"/>
          </w:tcPr>
          <w:p>
            <w:pPr>
              <w:pStyle w:val="16"/>
              <w:spacing w:line="360" w:lineRule="auto"/>
              <w:ind w:firstLine="0" w:firstLineChars="0"/>
              <w:jc w:val="center"/>
              <w:rPr>
                <w:rFonts w:hint="eastAsia" w:ascii="新宋体" w:hAnsi="新宋体" w:eastAsia="新宋体" w:cs="新宋体"/>
                <w:sz w:val="21"/>
                <w:szCs w:val="21"/>
              </w:rPr>
            </w:pPr>
          </w:p>
        </w:tc>
        <w:tc>
          <w:tcPr>
            <w:tcW w:w="1857" w:type="dxa"/>
            <w:noWrap w:val="0"/>
            <w:vAlign w:val="center"/>
          </w:tcPr>
          <w:p>
            <w:pPr>
              <w:jc w:val="center"/>
              <w:rPr>
                <w:rFonts w:hint="eastAsia" w:ascii="新宋体" w:hAnsi="新宋体" w:eastAsia="新宋体" w:cs="新宋体"/>
                <w:b w:val="0"/>
                <w:bCs w:val="0"/>
                <w:color w:val="auto"/>
                <w:sz w:val="22"/>
                <w:szCs w:val="22"/>
              </w:rPr>
            </w:pPr>
            <w:r>
              <w:rPr>
                <w:rFonts w:hint="eastAsia" w:ascii="新宋体" w:hAnsi="新宋体" w:eastAsia="新宋体" w:cs="新宋体"/>
                <w:b w:val="0"/>
                <w:bCs w:val="0"/>
                <w:color w:val="auto"/>
                <w:sz w:val="22"/>
                <w:szCs w:val="22"/>
              </w:rPr>
              <w:t>设备管理及维修方案（</w:t>
            </w:r>
            <w:r>
              <w:rPr>
                <w:rFonts w:hint="eastAsia" w:ascii="新宋体" w:hAnsi="新宋体" w:eastAsia="新宋体" w:cs="新宋体"/>
                <w:b w:val="0"/>
                <w:bCs w:val="0"/>
                <w:color w:val="auto"/>
                <w:sz w:val="22"/>
                <w:szCs w:val="22"/>
                <w:lang w:val="en-US" w:eastAsia="zh-CN"/>
              </w:rPr>
              <w:t>5</w:t>
            </w:r>
            <w:r>
              <w:rPr>
                <w:rFonts w:hint="eastAsia" w:ascii="新宋体" w:hAnsi="新宋体" w:eastAsia="新宋体" w:cs="新宋体"/>
                <w:b w:val="0"/>
                <w:bCs w:val="0"/>
                <w:color w:val="auto"/>
                <w:sz w:val="22"/>
                <w:szCs w:val="22"/>
              </w:rPr>
              <w:t>分）</w:t>
            </w:r>
          </w:p>
        </w:tc>
        <w:tc>
          <w:tcPr>
            <w:tcW w:w="6752" w:type="dxa"/>
            <w:noWrap w:val="0"/>
            <w:vAlign w:val="center"/>
          </w:tcPr>
          <w:p>
            <w:pPr>
              <w:spacing w:line="360" w:lineRule="auto"/>
              <w:jc w:val="left"/>
              <w:rPr>
                <w:rFonts w:hint="eastAsia" w:ascii="新宋体" w:hAnsi="新宋体" w:eastAsia="新宋体" w:cs="新宋体"/>
                <w:b w:val="0"/>
                <w:bCs w:val="0"/>
                <w:color w:val="auto"/>
                <w:sz w:val="22"/>
                <w:szCs w:val="22"/>
              </w:rPr>
            </w:pPr>
            <w:r>
              <w:rPr>
                <w:rFonts w:hint="eastAsia" w:ascii="新宋体" w:hAnsi="新宋体" w:eastAsia="新宋体" w:cs="新宋体"/>
                <w:b w:val="0"/>
                <w:bCs w:val="0"/>
                <w:color w:val="auto"/>
                <w:sz w:val="22"/>
                <w:szCs w:val="22"/>
              </w:rPr>
              <w:t>制订设施设备管理及日常维修维护方案。</w:t>
            </w:r>
          </w:p>
          <w:p>
            <w:pPr>
              <w:spacing w:line="360" w:lineRule="auto"/>
              <w:jc w:val="left"/>
              <w:rPr>
                <w:rFonts w:hint="eastAsia" w:ascii="新宋体" w:hAnsi="新宋体" w:eastAsia="新宋体" w:cs="新宋体"/>
                <w:b w:val="0"/>
                <w:bCs w:val="0"/>
                <w:color w:val="auto"/>
                <w:sz w:val="22"/>
                <w:szCs w:val="22"/>
              </w:rPr>
            </w:pPr>
            <w:r>
              <w:rPr>
                <w:rFonts w:hint="eastAsia" w:ascii="新宋体" w:hAnsi="新宋体" w:eastAsia="新宋体" w:cs="新宋体"/>
                <w:b w:val="0"/>
                <w:bCs w:val="0"/>
                <w:color w:val="auto"/>
                <w:sz w:val="22"/>
                <w:szCs w:val="22"/>
              </w:rPr>
              <w:t>合理可行的得</w:t>
            </w:r>
            <w:r>
              <w:rPr>
                <w:rFonts w:hint="eastAsia" w:ascii="新宋体" w:hAnsi="新宋体" w:eastAsia="新宋体" w:cs="新宋体"/>
                <w:b w:val="0"/>
                <w:bCs w:val="0"/>
                <w:color w:val="auto"/>
                <w:sz w:val="22"/>
                <w:szCs w:val="22"/>
                <w:lang w:val="en-US" w:eastAsia="zh-CN"/>
              </w:rPr>
              <w:t>5</w:t>
            </w:r>
            <w:r>
              <w:rPr>
                <w:rFonts w:hint="eastAsia" w:ascii="新宋体" w:hAnsi="新宋体" w:eastAsia="新宋体" w:cs="新宋体"/>
                <w:b w:val="0"/>
                <w:bCs w:val="0"/>
                <w:color w:val="auto"/>
                <w:sz w:val="22"/>
                <w:szCs w:val="22"/>
              </w:rPr>
              <w:t>分；基本合理可行的得3分；欠合理或不完整的得1-2分；没有不得分。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170" w:type="dxa"/>
            <w:vMerge w:val="continue"/>
            <w:noWrap w:val="0"/>
            <w:vAlign w:val="center"/>
          </w:tcPr>
          <w:p>
            <w:pPr>
              <w:pStyle w:val="16"/>
              <w:spacing w:line="360" w:lineRule="auto"/>
              <w:ind w:firstLine="0" w:firstLineChars="0"/>
              <w:jc w:val="center"/>
              <w:rPr>
                <w:rFonts w:hint="eastAsia" w:ascii="新宋体" w:hAnsi="新宋体" w:eastAsia="新宋体" w:cs="新宋体"/>
                <w:sz w:val="21"/>
                <w:szCs w:val="21"/>
              </w:rPr>
            </w:pPr>
          </w:p>
        </w:tc>
        <w:tc>
          <w:tcPr>
            <w:tcW w:w="1857" w:type="dxa"/>
            <w:noWrap w:val="0"/>
            <w:vAlign w:val="center"/>
          </w:tcPr>
          <w:p>
            <w:pPr>
              <w:jc w:val="center"/>
              <w:rPr>
                <w:rFonts w:hint="eastAsia" w:ascii="新宋体" w:hAnsi="新宋体" w:eastAsia="新宋体" w:cs="新宋体"/>
                <w:b w:val="0"/>
                <w:bCs w:val="0"/>
                <w:color w:val="auto"/>
                <w:sz w:val="22"/>
                <w:szCs w:val="22"/>
              </w:rPr>
            </w:pPr>
            <w:r>
              <w:rPr>
                <w:rFonts w:hint="eastAsia" w:ascii="新宋体" w:hAnsi="新宋体" w:eastAsia="新宋体" w:cs="新宋体"/>
                <w:b w:val="0"/>
                <w:bCs w:val="0"/>
                <w:color w:val="auto"/>
                <w:sz w:val="22"/>
                <w:szCs w:val="22"/>
              </w:rPr>
              <w:t>治安及车辆管理方案（</w:t>
            </w:r>
            <w:r>
              <w:rPr>
                <w:rFonts w:hint="eastAsia" w:ascii="新宋体" w:hAnsi="新宋体" w:eastAsia="新宋体" w:cs="新宋体"/>
                <w:b w:val="0"/>
                <w:bCs w:val="0"/>
                <w:color w:val="auto"/>
                <w:sz w:val="22"/>
                <w:szCs w:val="22"/>
                <w:lang w:val="en-US" w:eastAsia="zh-CN"/>
              </w:rPr>
              <w:t>4</w:t>
            </w:r>
            <w:r>
              <w:rPr>
                <w:rFonts w:hint="eastAsia" w:ascii="新宋体" w:hAnsi="新宋体" w:eastAsia="新宋体" w:cs="新宋体"/>
                <w:b w:val="0"/>
                <w:bCs w:val="0"/>
                <w:color w:val="auto"/>
                <w:sz w:val="22"/>
                <w:szCs w:val="22"/>
              </w:rPr>
              <w:t>分）</w:t>
            </w:r>
          </w:p>
        </w:tc>
        <w:tc>
          <w:tcPr>
            <w:tcW w:w="6752" w:type="dxa"/>
            <w:noWrap w:val="0"/>
            <w:vAlign w:val="center"/>
          </w:tcPr>
          <w:p>
            <w:pPr>
              <w:spacing w:line="360" w:lineRule="auto"/>
              <w:jc w:val="left"/>
              <w:rPr>
                <w:rFonts w:hint="eastAsia" w:ascii="新宋体" w:hAnsi="新宋体" w:eastAsia="新宋体" w:cs="新宋体"/>
                <w:b w:val="0"/>
                <w:bCs w:val="0"/>
                <w:color w:val="auto"/>
                <w:sz w:val="22"/>
                <w:szCs w:val="22"/>
              </w:rPr>
            </w:pPr>
            <w:r>
              <w:rPr>
                <w:rFonts w:hint="eastAsia" w:ascii="新宋体" w:hAnsi="新宋体" w:eastAsia="新宋体" w:cs="新宋体"/>
                <w:b w:val="0"/>
                <w:bCs w:val="0"/>
                <w:color w:val="auto"/>
                <w:sz w:val="22"/>
                <w:szCs w:val="22"/>
              </w:rPr>
              <w:t xml:space="preserve">针对秩序维护及车辆管理，提出具体方案。 </w:t>
            </w:r>
          </w:p>
          <w:p>
            <w:pPr>
              <w:spacing w:line="360" w:lineRule="auto"/>
              <w:jc w:val="left"/>
              <w:rPr>
                <w:rFonts w:hint="eastAsia" w:ascii="新宋体" w:hAnsi="新宋体" w:eastAsia="新宋体" w:cs="新宋体"/>
                <w:b w:val="0"/>
                <w:bCs w:val="0"/>
                <w:color w:val="auto"/>
                <w:kern w:val="0"/>
                <w:sz w:val="22"/>
                <w:szCs w:val="22"/>
              </w:rPr>
            </w:pPr>
            <w:r>
              <w:rPr>
                <w:rFonts w:hint="eastAsia" w:ascii="新宋体" w:hAnsi="新宋体" w:eastAsia="新宋体" w:cs="新宋体"/>
                <w:b w:val="0"/>
                <w:bCs w:val="0"/>
                <w:color w:val="auto"/>
                <w:sz w:val="22"/>
                <w:szCs w:val="22"/>
              </w:rPr>
              <w:t>合理可行的得</w:t>
            </w:r>
            <w:r>
              <w:rPr>
                <w:rFonts w:hint="eastAsia" w:ascii="新宋体" w:hAnsi="新宋体" w:eastAsia="新宋体" w:cs="新宋体"/>
                <w:b w:val="0"/>
                <w:bCs w:val="0"/>
                <w:color w:val="auto"/>
                <w:sz w:val="22"/>
                <w:szCs w:val="22"/>
                <w:lang w:val="en-US" w:eastAsia="zh-CN"/>
              </w:rPr>
              <w:t>4</w:t>
            </w:r>
            <w:r>
              <w:rPr>
                <w:rFonts w:hint="eastAsia" w:ascii="新宋体" w:hAnsi="新宋体" w:eastAsia="新宋体" w:cs="新宋体"/>
                <w:b w:val="0"/>
                <w:bCs w:val="0"/>
                <w:color w:val="auto"/>
                <w:sz w:val="22"/>
                <w:szCs w:val="22"/>
              </w:rPr>
              <w:t>分；基本合理可行的得</w:t>
            </w:r>
            <w:r>
              <w:rPr>
                <w:rFonts w:hint="eastAsia" w:ascii="新宋体" w:hAnsi="新宋体" w:eastAsia="新宋体" w:cs="新宋体"/>
                <w:b w:val="0"/>
                <w:bCs w:val="0"/>
                <w:color w:val="auto"/>
                <w:sz w:val="22"/>
                <w:szCs w:val="22"/>
                <w:lang w:val="en-US" w:eastAsia="zh-CN"/>
              </w:rPr>
              <w:t>2</w:t>
            </w:r>
            <w:r>
              <w:rPr>
                <w:rFonts w:hint="eastAsia" w:ascii="新宋体" w:hAnsi="新宋体" w:eastAsia="新宋体" w:cs="新宋体"/>
                <w:b w:val="0"/>
                <w:bCs w:val="0"/>
                <w:color w:val="auto"/>
                <w:sz w:val="22"/>
                <w:szCs w:val="22"/>
              </w:rPr>
              <w:t>分；欠合理或不完整的得</w:t>
            </w:r>
            <w:r>
              <w:rPr>
                <w:rFonts w:hint="eastAsia" w:ascii="新宋体" w:hAnsi="新宋体" w:eastAsia="新宋体" w:cs="新宋体"/>
                <w:b w:val="0"/>
                <w:bCs w:val="0"/>
                <w:color w:val="auto"/>
                <w:sz w:val="22"/>
                <w:szCs w:val="22"/>
                <w:lang w:val="en-US" w:eastAsia="zh-CN"/>
              </w:rPr>
              <w:t>1</w:t>
            </w:r>
            <w:r>
              <w:rPr>
                <w:rFonts w:hint="eastAsia" w:ascii="新宋体" w:hAnsi="新宋体" w:eastAsia="新宋体" w:cs="新宋体"/>
                <w:b w:val="0"/>
                <w:bCs w:val="0"/>
                <w:color w:val="auto"/>
                <w:sz w:val="22"/>
                <w:szCs w:val="22"/>
              </w:rPr>
              <w:t>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1170" w:type="dxa"/>
            <w:vMerge w:val="continue"/>
            <w:noWrap w:val="0"/>
            <w:vAlign w:val="center"/>
          </w:tcPr>
          <w:p>
            <w:pPr>
              <w:pStyle w:val="16"/>
              <w:spacing w:line="360" w:lineRule="auto"/>
              <w:ind w:firstLine="0" w:firstLineChars="0"/>
              <w:jc w:val="center"/>
              <w:rPr>
                <w:rFonts w:hint="eastAsia" w:ascii="新宋体" w:hAnsi="新宋体" w:eastAsia="新宋体" w:cs="新宋体"/>
                <w:sz w:val="21"/>
                <w:szCs w:val="21"/>
              </w:rPr>
            </w:pPr>
          </w:p>
        </w:tc>
        <w:tc>
          <w:tcPr>
            <w:tcW w:w="1857" w:type="dxa"/>
            <w:noWrap w:val="0"/>
            <w:vAlign w:val="center"/>
          </w:tcPr>
          <w:p>
            <w:pPr>
              <w:tabs>
                <w:tab w:val="left" w:pos="487"/>
              </w:tabs>
              <w:jc w:val="center"/>
              <w:rPr>
                <w:rFonts w:hint="eastAsia" w:ascii="新宋体" w:hAnsi="新宋体" w:eastAsia="新宋体" w:cs="新宋体"/>
                <w:b w:val="0"/>
                <w:bCs w:val="0"/>
                <w:color w:val="auto"/>
                <w:sz w:val="22"/>
                <w:szCs w:val="22"/>
                <w:lang w:eastAsia="zh-CN"/>
              </w:rPr>
            </w:pPr>
            <w:r>
              <w:rPr>
                <w:rFonts w:hint="eastAsia" w:ascii="新宋体" w:hAnsi="新宋体" w:eastAsia="新宋体" w:cs="新宋体"/>
                <w:b w:val="0"/>
                <w:bCs w:val="0"/>
                <w:color w:val="auto"/>
                <w:sz w:val="22"/>
                <w:szCs w:val="22"/>
                <w:lang w:eastAsia="zh-CN"/>
              </w:rPr>
              <w:t>应急管理方案</w:t>
            </w:r>
          </w:p>
          <w:p>
            <w:pPr>
              <w:tabs>
                <w:tab w:val="left" w:pos="487"/>
              </w:tabs>
              <w:jc w:val="center"/>
              <w:rPr>
                <w:rFonts w:hint="eastAsia" w:ascii="新宋体" w:hAnsi="新宋体" w:eastAsia="新宋体" w:cs="新宋体"/>
                <w:b w:val="0"/>
                <w:bCs w:val="0"/>
                <w:color w:val="auto"/>
                <w:sz w:val="22"/>
                <w:szCs w:val="22"/>
              </w:rPr>
            </w:pPr>
            <w:r>
              <w:rPr>
                <w:rFonts w:hint="eastAsia" w:ascii="新宋体" w:hAnsi="新宋体" w:eastAsia="新宋体" w:cs="新宋体"/>
                <w:b w:val="0"/>
                <w:bCs w:val="0"/>
                <w:color w:val="auto"/>
                <w:sz w:val="22"/>
                <w:szCs w:val="22"/>
                <w:lang w:eastAsia="zh-CN"/>
              </w:rPr>
              <w:t>（</w:t>
            </w:r>
            <w:r>
              <w:rPr>
                <w:rFonts w:hint="eastAsia" w:ascii="新宋体" w:hAnsi="新宋体" w:eastAsia="新宋体" w:cs="新宋体"/>
                <w:b w:val="0"/>
                <w:bCs w:val="0"/>
                <w:color w:val="auto"/>
                <w:sz w:val="22"/>
                <w:szCs w:val="22"/>
                <w:lang w:val="en-US" w:eastAsia="zh-CN"/>
              </w:rPr>
              <w:t>3分</w:t>
            </w:r>
            <w:r>
              <w:rPr>
                <w:rFonts w:hint="eastAsia" w:ascii="新宋体" w:hAnsi="新宋体" w:eastAsia="新宋体" w:cs="新宋体"/>
                <w:b w:val="0"/>
                <w:bCs w:val="0"/>
                <w:color w:val="auto"/>
                <w:sz w:val="22"/>
                <w:szCs w:val="22"/>
                <w:lang w:eastAsia="zh-CN"/>
              </w:rPr>
              <w:t>）</w:t>
            </w:r>
          </w:p>
        </w:tc>
        <w:tc>
          <w:tcPr>
            <w:tcW w:w="6752" w:type="dxa"/>
            <w:noWrap w:val="0"/>
            <w:vAlign w:val="center"/>
          </w:tcPr>
          <w:p>
            <w:pPr>
              <w:spacing w:line="360" w:lineRule="auto"/>
              <w:jc w:val="left"/>
              <w:rPr>
                <w:rFonts w:hint="eastAsia" w:ascii="新宋体" w:hAnsi="新宋体" w:eastAsia="新宋体" w:cs="新宋体"/>
                <w:b w:val="0"/>
                <w:bCs w:val="0"/>
                <w:color w:val="auto"/>
                <w:sz w:val="22"/>
                <w:szCs w:val="22"/>
                <w:lang w:eastAsia="zh-CN"/>
              </w:rPr>
            </w:pPr>
            <w:r>
              <w:rPr>
                <w:rFonts w:hint="eastAsia" w:ascii="新宋体" w:hAnsi="新宋体" w:eastAsia="新宋体" w:cs="新宋体"/>
                <w:b w:val="0"/>
                <w:bCs w:val="0"/>
                <w:color w:val="auto"/>
                <w:sz w:val="22"/>
                <w:szCs w:val="22"/>
              </w:rPr>
              <w:t>提供火灾、电梯故障等突发事件处置方案</w:t>
            </w:r>
            <w:r>
              <w:rPr>
                <w:rFonts w:hint="eastAsia" w:ascii="新宋体" w:hAnsi="新宋体" w:eastAsia="新宋体" w:cs="新宋体"/>
                <w:b w:val="0"/>
                <w:bCs w:val="0"/>
                <w:color w:val="auto"/>
                <w:sz w:val="22"/>
                <w:szCs w:val="22"/>
                <w:lang w:eastAsia="zh-CN"/>
              </w:rPr>
              <w:t>。</w:t>
            </w:r>
          </w:p>
          <w:p>
            <w:pPr>
              <w:spacing w:line="360" w:lineRule="auto"/>
              <w:jc w:val="left"/>
              <w:rPr>
                <w:rFonts w:hint="eastAsia" w:ascii="新宋体" w:hAnsi="新宋体" w:eastAsia="新宋体" w:cs="新宋体"/>
                <w:b w:val="0"/>
                <w:bCs w:val="0"/>
                <w:color w:val="auto"/>
                <w:sz w:val="22"/>
                <w:szCs w:val="22"/>
              </w:rPr>
            </w:pPr>
            <w:r>
              <w:rPr>
                <w:rFonts w:hint="eastAsia" w:ascii="新宋体" w:hAnsi="新宋体" w:eastAsia="新宋体" w:cs="新宋体"/>
                <w:b w:val="0"/>
                <w:bCs w:val="0"/>
                <w:color w:val="auto"/>
                <w:sz w:val="22"/>
                <w:szCs w:val="22"/>
              </w:rPr>
              <w:t>合理可行的得</w:t>
            </w:r>
            <w:r>
              <w:rPr>
                <w:rFonts w:hint="eastAsia" w:ascii="新宋体" w:hAnsi="新宋体" w:eastAsia="新宋体" w:cs="新宋体"/>
                <w:b w:val="0"/>
                <w:bCs w:val="0"/>
                <w:color w:val="auto"/>
                <w:sz w:val="22"/>
                <w:szCs w:val="22"/>
                <w:lang w:val="en-US" w:eastAsia="zh-CN"/>
              </w:rPr>
              <w:t>3</w:t>
            </w:r>
            <w:r>
              <w:rPr>
                <w:rFonts w:hint="eastAsia" w:ascii="新宋体" w:hAnsi="新宋体" w:eastAsia="新宋体" w:cs="新宋体"/>
                <w:b w:val="0"/>
                <w:bCs w:val="0"/>
                <w:color w:val="auto"/>
                <w:sz w:val="22"/>
                <w:szCs w:val="22"/>
              </w:rPr>
              <w:t>分；基本合理可行的得</w:t>
            </w:r>
            <w:r>
              <w:rPr>
                <w:rFonts w:hint="eastAsia" w:ascii="新宋体" w:hAnsi="新宋体" w:eastAsia="新宋体" w:cs="新宋体"/>
                <w:b w:val="0"/>
                <w:bCs w:val="0"/>
                <w:color w:val="auto"/>
                <w:sz w:val="22"/>
                <w:szCs w:val="22"/>
                <w:lang w:val="en-US" w:eastAsia="zh-CN"/>
              </w:rPr>
              <w:t>2</w:t>
            </w:r>
            <w:r>
              <w:rPr>
                <w:rFonts w:hint="eastAsia" w:ascii="新宋体" w:hAnsi="新宋体" w:eastAsia="新宋体" w:cs="新宋体"/>
                <w:b w:val="0"/>
                <w:bCs w:val="0"/>
                <w:color w:val="auto"/>
                <w:sz w:val="22"/>
                <w:szCs w:val="22"/>
              </w:rPr>
              <w:t>分；欠合理或不完整的得</w:t>
            </w:r>
            <w:r>
              <w:rPr>
                <w:rFonts w:hint="eastAsia" w:ascii="新宋体" w:hAnsi="新宋体" w:eastAsia="新宋体" w:cs="新宋体"/>
                <w:b w:val="0"/>
                <w:bCs w:val="0"/>
                <w:color w:val="auto"/>
                <w:sz w:val="22"/>
                <w:szCs w:val="22"/>
                <w:lang w:val="en-US" w:eastAsia="zh-CN"/>
              </w:rPr>
              <w:t>1</w:t>
            </w:r>
            <w:r>
              <w:rPr>
                <w:rFonts w:hint="eastAsia" w:ascii="新宋体" w:hAnsi="新宋体" w:eastAsia="新宋体" w:cs="新宋体"/>
                <w:b w:val="0"/>
                <w:bCs w:val="0"/>
                <w:color w:val="auto"/>
                <w:sz w:val="22"/>
                <w:szCs w:val="22"/>
              </w:rPr>
              <w:t>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170" w:type="dxa"/>
            <w:vMerge w:val="continue"/>
            <w:noWrap w:val="0"/>
            <w:vAlign w:val="center"/>
          </w:tcPr>
          <w:p>
            <w:pPr>
              <w:pStyle w:val="16"/>
              <w:spacing w:line="360" w:lineRule="auto"/>
              <w:ind w:firstLine="0" w:firstLineChars="0"/>
              <w:jc w:val="center"/>
              <w:rPr>
                <w:rFonts w:hint="eastAsia" w:ascii="新宋体" w:hAnsi="新宋体" w:eastAsia="新宋体" w:cs="新宋体"/>
                <w:sz w:val="21"/>
                <w:szCs w:val="21"/>
              </w:rPr>
            </w:pPr>
          </w:p>
        </w:tc>
        <w:tc>
          <w:tcPr>
            <w:tcW w:w="1857" w:type="dxa"/>
            <w:noWrap w:val="0"/>
            <w:vAlign w:val="center"/>
          </w:tcPr>
          <w:p>
            <w:pPr>
              <w:tabs>
                <w:tab w:val="left" w:pos="487"/>
              </w:tabs>
              <w:jc w:val="center"/>
              <w:rPr>
                <w:rFonts w:hint="eastAsia" w:ascii="新宋体" w:hAnsi="新宋体" w:eastAsia="新宋体" w:cs="新宋体"/>
                <w:b w:val="0"/>
                <w:bCs w:val="0"/>
                <w:color w:val="auto"/>
                <w:sz w:val="22"/>
                <w:szCs w:val="22"/>
                <w:lang w:eastAsia="zh-CN"/>
              </w:rPr>
            </w:pPr>
            <w:r>
              <w:rPr>
                <w:rFonts w:hint="eastAsia" w:ascii="新宋体" w:hAnsi="新宋体" w:eastAsia="新宋体" w:cs="新宋体"/>
                <w:b w:val="0"/>
                <w:bCs w:val="0"/>
                <w:color w:val="auto"/>
                <w:sz w:val="22"/>
                <w:szCs w:val="22"/>
                <w:lang w:eastAsia="zh-CN"/>
              </w:rPr>
              <w:t>装修管理方案</w:t>
            </w:r>
          </w:p>
          <w:p>
            <w:pPr>
              <w:tabs>
                <w:tab w:val="left" w:pos="487"/>
              </w:tabs>
              <w:jc w:val="center"/>
              <w:rPr>
                <w:rFonts w:hint="eastAsia" w:ascii="新宋体" w:hAnsi="新宋体" w:eastAsia="新宋体" w:cs="新宋体"/>
                <w:b w:val="0"/>
                <w:bCs w:val="0"/>
                <w:color w:val="auto"/>
                <w:sz w:val="22"/>
                <w:szCs w:val="22"/>
              </w:rPr>
            </w:pPr>
            <w:r>
              <w:rPr>
                <w:rFonts w:hint="eastAsia" w:ascii="新宋体" w:hAnsi="新宋体" w:eastAsia="新宋体" w:cs="新宋体"/>
                <w:b w:val="0"/>
                <w:bCs w:val="0"/>
                <w:color w:val="auto"/>
                <w:sz w:val="22"/>
                <w:szCs w:val="22"/>
                <w:lang w:eastAsia="zh-CN"/>
              </w:rPr>
              <w:t>（</w:t>
            </w:r>
            <w:r>
              <w:rPr>
                <w:rFonts w:hint="eastAsia" w:ascii="新宋体" w:hAnsi="新宋体" w:eastAsia="新宋体" w:cs="新宋体"/>
                <w:b w:val="0"/>
                <w:bCs w:val="0"/>
                <w:color w:val="auto"/>
                <w:sz w:val="22"/>
                <w:szCs w:val="22"/>
                <w:lang w:val="en-US" w:eastAsia="zh-CN"/>
              </w:rPr>
              <w:t>3分</w:t>
            </w:r>
            <w:r>
              <w:rPr>
                <w:rFonts w:hint="eastAsia" w:ascii="新宋体" w:hAnsi="新宋体" w:eastAsia="新宋体" w:cs="新宋体"/>
                <w:b w:val="0"/>
                <w:bCs w:val="0"/>
                <w:color w:val="auto"/>
                <w:sz w:val="22"/>
                <w:szCs w:val="22"/>
                <w:lang w:eastAsia="zh-CN"/>
              </w:rPr>
              <w:t>）</w:t>
            </w:r>
          </w:p>
        </w:tc>
        <w:tc>
          <w:tcPr>
            <w:tcW w:w="6752" w:type="dxa"/>
            <w:noWrap w:val="0"/>
            <w:vAlign w:val="center"/>
          </w:tcPr>
          <w:p>
            <w:pPr>
              <w:spacing w:line="360" w:lineRule="auto"/>
              <w:jc w:val="left"/>
              <w:rPr>
                <w:rFonts w:hint="eastAsia" w:ascii="新宋体" w:hAnsi="新宋体" w:eastAsia="新宋体" w:cs="新宋体"/>
                <w:b w:val="0"/>
                <w:bCs w:val="0"/>
                <w:color w:val="auto"/>
                <w:sz w:val="22"/>
                <w:szCs w:val="22"/>
              </w:rPr>
            </w:pPr>
            <w:r>
              <w:rPr>
                <w:rFonts w:hint="eastAsia" w:ascii="新宋体" w:hAnsi="新宋体" w:eastAsia="新宋体" w:cs="新宋体"/>
                <w:b w:val="0"/>
                <w:bCs w:val="0"/>
                <w:color w:val="auto"/>
                <w:sz w:val="22"/>
                <w:szCs w:val="22"/>
              </w:rPr>
              <w:t>小区装修日常管理及违规处置的方案</w:t>
            </w:r>
          </w:p>
          <w:p>
            <w:pPr>
              <w:spacing w:line="360" w:lineRule="auto"/>
              <w:jc w:val="left"/>
              <w:rPr>
                <w:rFonts w:hint="eastAsia" w:ascii="新宋体" w:hAnsi="新宋体" w:eastAsia="新宋体" w:cs="新宋体"/>
                <w:b w:val="0"/>
                <w:bCs w:val="0"/>
                <w:color w:val="auto"/>
                <w:kern w:val="0"/>
                <w:sz w:val="22"/>
                <w:szCs w:val="22"/>
              </w:rPr>
            </w:pPr>
            <w:r>
              <w:rPr>
                <w:rFonts w:hint="eastAsia" w:ascii="新宋体" w:hAnsi="新宋体" w:eastAsia="新宋体" w:cs="新宋体"/>
                <w:b w:val="0"/>
                <w:bCs w:val="0"/>
                <w:color w:val="auto"/>
                <w:sz w:val="22"/>
                <w:szCs w:val="22"/>
              </w:rPr>
              <w:t>合理可行的得</w:t>
            </w:r>
            <w:r>
              <w:rPr>
                <w:rFonts w:hint="eastAsia" w:ascii="新宋体" w:hAnsi="新宋体" w:eastAsia="新宋体" w:cs="新宋体"/>
                <w:b w:val="0"/>
                <w:bCs w:val="0"/>
                <w:color w:val="auto"/>
                <w:sz w:val="22"/>
                <w:szCs w:val="22"/>
                <w:lang w:val="en-US" w:eastAsia="zh-CN"/>
              </w:rPr>
              <w:t>3</w:t>
            </w:r>
            <w:r>
              <w:rPr>
                <w:rFonts w:hint="eastAsia" w:ascii="新宋体" w:hAnsi="新宋体" w:eastAsia="新宋体" w:cs="新宋体"/>
                <w:b w:val="0"/>
                <w:bCs w:val="0"/>
                <w:color w:val="auto"/>
                <w:sz w:val="22"/>
                <w:szCs w:val="22"/>
              </w:rPr>
              <w:t>分；基本合理可行的得</w:t>
            </w:r>
            <w:r>
              <w:rPr>
                <w:rFonts w:hint="eastAsia" w:ascii="新宋体" w:hAnsi="新宋体" w:eastAsia="新宋体" w:cs="新宋体"/>
                <w:b w:val="0"/>
                <w:bCs w:val="0"/>
                <w:color w:val="auto"/>
                <w:sz w:val="22"/>
                <w:szCs w:val="22"/>
                <w:lang w:val="en-US" w:eastAsia="zh-CN"/>
              </w:rPr>
              <w:t>2</w:t>
            </w:r>
            <w:r>
              <w:rPr>
                <w:rFonts w:hint="eastAsia" w:ascii="新宋体" w:hAnsi="新宋体" w:eastAsia="新宋体" w:cs="新宋体"/>
                <w:b w:val="0"/>
                <w:bCs w:val="0"/>
                <w:color w:val="auto"/>
                <w:sz w:val="22"/>
                <w:szCs w:val="22"/>
              </w:rPr>
              <w:t>分；欠合理或不完整的得</w:t>
            </w:r>
            <w:r>
              <w:rPr>
                <w:rFonts w:hint="eastAsia" w:ascii="新宋体" w:hAnsi="新宋体" w:eastAsia="新宋体" w:cs="新宋体"/>
                <w:b w:val="0"/>
                <w:bCs w:val="0"/>
                <w:color w:val="auto"/>
                <w:sz w:val="22"/>
                <w:szCs w:val="22"/>
                <w:lang w:val="en-US" w:eastAsia="zh-CN"/>
              </w:rPr>
              <w:t>1</w:t>
            </w:r>
            <w:r>
              <w:rPr>
                <w:rFonts w:hint="eastAsia" w:ascii="新宋体" w:hAnsi="新宋体" w:eastAsia="新宋体" w:cs="新宋体"/>
                <w:b w:val="0"/>
                <w:bCs w:val="0"/>
                <w:color w:val="auto"/>
                <w:sz w:val="22"/>
                <w:szCs w:val="22"/>
              </w:rPr>
              <w:t>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170" w:type="dxa"/>
            <w:vMerge w:val="continue"/>
            <w:noWrap w:val="0"/>
            <w:vAlign w:val="center"/>
          </w:tcPr>
          <w:p>
            <w:pPr>
              <w:pStyle w:val="16"/>
              <w:spacing w:line="360" w:lineRule="auto"/>
              <w:ind w:firstLine="0" w:firstLineChars="0"/>
              <w:jc w:val="center"/>
              <w:rPr>
                <w:rFonts w:hint="eastAsia" w:ascii="新宋体" w:hAnsi="新宋体" w:eastAsia="新宋体" w:cs="新宋体"/>
                <w:sz w:val="21"/>
                <w:szCs w:val="21"/>
              </w:rPr>
            </w:pPr>
          </w:p>
        </w:tc>
        <w:tc>
          <w:tcPr>
            <w:tcW w:w="1857" w:type="dxa"/>
            <w:noWrap w:val="0"/>
            <w:vAlign w:val="center"/>
          </w:tcPr>
          <w:p>
            <w:pPr>
              <w:tabs>
                <w:tab w:val="left" w:pos="487"/>
              </w:tabs>
              <w:jc w:val="center"/>
              <w:rPr>
                <w:rFonts w:hint="eastAsia" w:ascii="新宋体" w:hAnsi="新宋体" w:eastAsia="新宋体" w:cs="新宋体"/>
                <w:b w:val="0"/>
                <w:bCs w:val="0"/>
                <w:color w:val="auto"/>
                <w:sz w:val="22"/>
                <w:szCs w:val="22"/>
                <w:lang w:eastAsia="zh-CN"/>
              </w:rPr>
            </w:pPr>
            <w:r>
              <w:rPr>
                <w:rFonts w:hint="eastAsia" w:ascii="新宋体" w:hAnsi="新宋体" w:eastAsia="新宋体" w:cs="新宋体"/>
                <w:b w:val="0"/>
                <w:bCs w:val="0"/>
                <w:color w:val="auto"/>
                <w:sz w:val="22"/>
                <w:szCs w:val="22"/>
                <w:lang w:eastAsia="zh-CN"/>
              </w:rPr>
              <w:t>承接入住方案</w:t>
            </w:r>
          </w:p>
          <w:p>
            <w:pPr>
              <w:tabs>
                <w:tab w:val="left" w:pos="487"/>
              </w:tabs>
              <w:jc w:val="center"/>
              <w:rPr>
                <w:rFonts w:hint="eastAsia" w:ascii="新宋体" w:hAnsi="新宋体" w:eastAsia="新宋体" w:cs="新宋体"/>
                <w:b w:val="0"/>
                <w:bCs w:val="0"/>
                <w:color w:val="auto"/>
                <w:sz w:val="22"/>
                <w:szCs w:val="22"/>
              </w:rPr>
            </w:pPr>
            <w:r>
              <w:rPr>
                <w:rFonts w:hint="eastAsia" w:ascii="新宋体" w:hAnsi="新宋体" w:eastAsia="新宋体" w:cs="新宋体"/>
                <w:b w:val="0"/>
                <w:bCs w:val="0"/>
                <w:color w:val="auto"/>
                <w:sz w:val="22"/>
                <w:szCs w:val="22"/>
                <w:lang w:eastAsia="zh-CN"/>
              </w:rPr>
              <w:t>（</w:t>
            </w:r>
            <w:r>
              <w:rPr>
                <w:rFonts w:hint="eastAsia" w:ascii="新宋体" w:hAnsi="新宋体" w:eastAsia="新宋体" w:cs="新宋体"/>
                <w:b w:val="0"/>
                <w:bCs w:val="0"/>
                <w:color w:val="auto"/>
                <w:sz w:val="22"/>
                <w:szCs w:val="22"/>
                <w:lang w:val="en-US" w:eastAsia="zh-CN"/>
              </w:rPr>
              <w:t>3分</w:t>
            </w:r>
            <w:r>
              <w:rPr>
                <w:rFonts w:hint="eastAsia" w:ascii="新宋体" w:hAnsi="新宋体" w:eastAsia="新宋体" w:cs="新宋体"/>
                <w:b w:val="0"/>
                <w:bCs w:val="0"/>
                <w:color w:val="auto"/>
                <w:sz w:val="22"/>
                <w:szCs w:val="22"/>
                <w:lang w:eastAsia="zh-CN"/>
              </w:rPr>
              <w:t>）</w:t>
            </w:r>
          </w:p>
        </w:tc>
        <w:tc>
          <w:tcPr>
            <w:tcW w:w="6752" w:type="dxa"/>
            <w:noWrap w:val="0"/>
            <w:vAlign w:val="center"/>
          </w:tcPr>
          <w:p>
            <w:pPr>
              <w:pStyle w:val="2"/>
              <w:spacing w:line="360" w:lineRule="auto"/>
              <w:rPr>
                <w:rFonts w:hint="eastAsia" w:ascii="新宋体" w:hAnsi="新宋体" w:eastAsia="新宋体" w:cs="新宋体"/>
                <w:b w:val="0"/>
                <w:bCs w:val="0"/>
                <w:color w:val="auto"/>
                <w:kern w:val="2"/>
                <w:sz w:val="22"/>
                <w:szCs w:val="22"/>
                <w:lang w:val="en-US" w:eastAsia="zh-CN" w:bidi="ar-SA"/>
              </w:rPr>
            </w:pPr>
            <w:r>
              <w:rPr>
                <w:rFonts w:hint="eastAsia" w:ascii="新宋体" w:hAnsi="新宋体" w:eastAsia="新宋体" w:cs="新宋体"/>
                <w:b w:val="0"/>
                <w:bCs w:val="0"/>
                <w:color w:val="auto"/>
                <w:kern w:val="2"/>
                <w:sz w:val="22"/>
                <w:szCs w:val="22"/>
                <w:lang w:val="en-US" w:eastAsia="zh-CN" w:bidi="ar-SA"/>
              </w:rPr>
              <w:t>资料接收、现场查验，不合格处理及入住方案</w:t>
            </w:r>
          </w:p>
          <w:p>
            <w:pPr>
              <w:pStyle w:val="2"/>
              <w:spacing w:line="360" w:lineRule="auto"/>
              <w:rPr>
                <w:rFonts w:hint="eastAsia" w:ascii="新宋体" w:hAnsi="新宋体" w:eastAsia="新宋体" w:cs="新宋体"/>
                <w:b w:val="0"/>
                <w:bCs w:val="0"/>
                <w:color w:val="auto"/>
                <w:sz w:val="22"/>
                <w:szCs w:val="22"/>
              </w:rPr>
            </w:pPr>
            <w:r>
              <w:rPr>
                <w:rFonts w:hint="eastAsia" w:ascii="新宋体" w:hAnsi="新宋体" w:eastAsia="新宋体" w:cs="新宋体"/>
                <w:b w:val="0"/>
                <w:bCs w:val="0"/>
                <w:color w:val="auto"/>
                <w:kern w:val="2"/>
                <w:sz w:val="22"/>
                <w:szCs w:val="22"/>
                <w:lang w:val="en-US" w:eastAsia="zh-CN" w:bidi="ar-SA"/>
              </w:rPr>
              <w:t>合理可行的得3分；基本合理可行的得2分；欠合理或不完整的得1分；没有不得分。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1170" w:type="dxa"/>
            <w:vMerge w:val="continue"/>
            <w:noWrap w:val="0"/>
            <w:vAlign w:val="center"/>
          </w:tcPr>
          <w:p>
            <w:pPr>
              <w:pStyle w:val="16"/>
              <w:spacing w:line="360" w:lineRule="auto"/>
              <w:ind w:firstLine="0" w:firstLineChars="0"/>
              <w:jc w:val="center"/>
              <w:rPr>
                <w:rFonts w:hint="eastAsia" w:ascii="新宋体" w:hAnsi="新宋体" w:eastAsia="新宋体" w:cs="新宋体"/>
                <w:sz w:val="21"/>
                <w:szCs w:val="21"/>
              </w:rPr>
            </w:pPr>
          </w:p>
        </w:tc>
        <w:tc>
          <w:tcPr>
            <w:tcW w:w="1857" w:type="dxa"/>
            <w:noWrap w:val="0"/>
            <w:vAlign w:val="center"/>
          </w:tcPr>
          <w:p>
            <w:pPr>
              <w:tabs>
                <w:tab w:val="left" w:pos="487"/>
              </w:tabs>
              <w:jc w:val="center"/>
              <w:rPr>
                <w:rFonts w:hint="eastAsia" w:ascii="新宋体" w:hAnsi="新宋体" w:eastAsia="新宋体" w:cs="新宋体"/>
                <w:b w:val="0"/>
                <w:bCs w:val="0"/>
                <w:color w:val="auto"/>
                <w:sz w:val="22"/>
                <w:szCs w:val="22"/>
                <w:lang w:eastAsia="zh-CN"/>
              </w:rPr>
            </w:pPr>
            <w:r>
              <w:rPr>
                <w:rFonts w:hint="eastAsia" w:ascii="新宋体" w:hAnsi="新宋体" w:eastAsia="新宋体" w:cs="新宋体"/>
                <w:b w:val="0"/>
                <w:bCs w:val="0"/>
                <w:color w:val="auto"/>
                <w:sz w:val="22"/>
                <w:szCs w:val="22"/>
                <w:lang w:eastAsia="zh-CN"/>
              </w:rPr>
              <w:t>社区文化方案</w:t>
            </w:r>
          </w:p>
          <w:p>
            <w:pPr>
              <w:tabs>
                <w:tab w:val="left" w:pos="487"/>
              </w:tabs>
              <w:jc w:val="center"/>
              <w:rPr>
                <w:rFonts w:hint="eastAsia" w:ascii="新宋体" w:hAnsi="新宋体" w:eastAsia="新宋体" w:cs="新宋体"/>
                <w:b w:val="0"/>
                <w:bCs w:val="0"/>
                <w:color w:val="auto"/>
                <w:sz w:val="22"/>
                <w:szCs w:val="22"/>
              </w:rPr>
            </w:pPr>
            <w:r>
              <w:rPr>
                <w:rFonts w:hint="eastAsia" w:ascii="新宋体" w:hAnsi="新宋体" w:eastAsia="新宋体" w:cs="新宋体"/>
                <w:b w:val="0"/>
                <w:bCs w:val="0"/>
                <w:color w:val="auto"/>
                <w:sz w:val="22"/>
                <w:szCs w:val="22"/>
                <w:lang w:eastAsia="zh-CN"/>
              </w:rPr>
              <w:t>（</w:t>
            </w:r>
            <w:r>
              <w:rPr>
                <w:rFonts w:hint="eastAsia" w:ascii="新宋体" w:hAnsi="新宋体" w:eastAsia="新宋体" w:cs="新宋体"/>
                <w:b w:val="0"/>
                <w:bCs w:val="0"/>
                <w:color w:val="auto"/>
                <w:sz w:val="22"/>
                <w:szCs w:val="22"/>
                <w:lang w:val="en-US" w:eastAsia="zh-CN"/>
              </w:rPr>
              <w:t>3分</w:t>
            </w:r>
            <w:r>
              <w:rPr>
                <w:rFonts w:hint="eastAsia" w:ascii="新宋体" w:hAnsi="新宋体" w:eastAsia="新宋体" w:cs="新宋体"/>
                <w:b w:val="0"/>
                <w:bCs w:val="0"/>
                <w:color w:val="auto"/>
                <w:sz w:val="22"/>
                <w:szCs w:val="22"/>
                <w:lang w:eastAsia="zh-CN"/>
              </w:rPr>
              <w:t>）</w:t>
            </w:r>
          </w:p>
        </w:tc>
        <w:tc>
          <w:tcPr>
            <w:tcW w:w="6752" w:type="dxa"/>
            <w:noWrap w:val="0"/>
            <w:vAlign w:val="center"/>
          </w:tcPr>
          <w:p>
            <w:pPr>
              <w:pStyle w:val="2"/>
              <w:spacing w:line="360" w:lineRule="auto"/>
              <w:rPr>
                <w:rFonts w:hint="eastAsia" w:ascii="新宋体" w:hAnsi="新宋体" w:eastAsia="新宋体" w:cs="新宋体"/>
                <w:b w:val="0"/>
                <w:bCs w:val="0"/>
                <w:color w:val="auto"/>
                <w:kern w:val="2"/>
                <w:sz w:val="22"/>
                <w:szCs w:val="22"/>
                <w:lang w:val="en-US" w:eastAsia="zh-CN" w:bidi="ar-SA"/>
              </w:rPr>
            </w:pPr>
            <w:r>
              <w:rPr>
                <w:rFonts w:hint="eastAsia" w:ascii="新宋体" w:hAnsi="新宋体" w:eastAsia="新宋体" w:cs="新宋体"/>
                <w:b w:val="0"/>
                <w:bCs w:val="0"/>
                <w:color w:val="auto"/>
                <w:kern w:val="2"/>
                <w:sz w:val="22"/>
                <w:szCs w:val="22"/>
                <w:lang w:val="en-US" w:eastAsia="zh-CN" w:bidi="ar-SA"/>
              </w:rPr>
              <w:t>针对小区业主特点的社区文化活动组织</w:t>
            </w:r>
          </w:p>
          <w:p>
            <w:pPr>
              <w:pStyle w:val="2"/>
              <w:spacing w:line="360" w:lineRule="auto"/>
              <w:rPr>
                <w:rFonts w:hint="eastAsia" w:ascii="新宋体" w:hAnsi="新宋体" w:eastAsia="新宋体" w:cs="新宋体"/>
                <w:b w:val="0"/>
                <w:bCs w:val="0"/>
                <w:color w:val="auto"/>
                <w:sz w:val="22"/>
                <w:szCs w:val="22"/>
              </w:rPr>
            </w:pPr>
            <w:r>
              <w:rPr>
                <w:rFonts w:hint="eastAsia" w:ascii="新宋体" w:hAnsi="新宋体" w:eastAsia="新宋体" w:cs="新宋体"/>
                <w:b w:val="0"/>
                <w:bCs w:val="0"/>
                <w:color w:val="auto"/>
                <w:kern w:val="2"/>
                <w:sz w:val="22"/>
                <w:szCs w:val="22"/>
                <w:lang w:val="en-US" w:eastAsia="zh-CN" w:bidi="ar-SA"/>
              </w:rPr>
              <w:t>合理可行的得3分；基本合理可行的得2分；欠合理或不完整的得1分；没有不得分。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2" w:hRule="atLeast"/>
        </w:trPr>
        <w:tc>
          <w:tcPr>
            <w:tcW w:w="1170" w:type="dxa"/>
            <w:noWrap w:val="0"/>
            <w:vAlign w:val="center"/>
          </w:tcPr>
          <w:p>
            <w:pPr>
              <w:snapToGrid w:val="0"/>
              <w:spacing w:line="360" w:lineRule="auto"/>
              <w:jc w:val="center"/>
              <w:rPr>
                <w:rFonts w:hint="eastAsia" w:ascii="新宋体" w:hAnsi="新宋体" w:eastAsia="新宋体" w:cs="新宋体"/>
                <w:kern w:val="0"/>
                <w:sz w:val="21"/>
                <w:szCs w:val="21"/>
                <w:highlight w:val="none"/>
              </w:rPr>
            </w:pPr>
            <w:r>
              <w:rPr>
                <w:rFonts w:hint="eastAsia" w:ascii="新宋体" w:hAnsi="新宋体" w:eastAsia="新宋体" w:cs="新宋体"/>
                <w:kern w:val="0"/>
                <w:sz w:val="21"/>
                <w:szCs w:val="21"/>
                <w:highlight w:val="none"/>
              </w:rPr>
              <w:t>商务标</w:t>
            </w:r>
          </w:p>
          <w:p>
            <w:pPr>
              <w:pStyle w:val="16"/>
              <w:spacing w:line="360" w:lineRule="auto"/>
              <w:ind w:firstLine="0" w:firstLineChars="0"/>
              <w:jc w:val="center"/>
              <w:rPr>
                <w:rFonts w:hint="eastAsia" w:ascii="新宋体" w:hAnsi="新宋体" w:eastAsia="新宋体" w:cs="新宋体"/>
                <w:sz w:val="21"/>
                <w:szCs w:val="21"/>
                <w:highlight w:val="none"/>
              </w:rPr>
            </w:pPr>
            <w:r>
              <w:rPr>
                <w:rFonts w:hint="eastAsia" w:ascii="新宋体" w:hAnsi="新宋体" w:eastAsia="新宋体" w:cs="新宋体"/>
                <w:kern w:val="0"/>
                <w:sz w:val="21"/>
                <w:szCs w:val="21"/>
                <w:highlight w:val="none"/>
              </w:rPr>
              <w:t>（</w:t>
            </w:r>
            <w:r>
              <w:rPr>
                <w:rFonts w:hint="eastAsia" w:ascii="新宋体" w:hAnsi="新宋体" w:eastAsia="新宋体" w:cs="新宋体"/>
                <w:kern w:val="0"/>
                <w:sz w:val="21"/>
                <w:szCs w:val="21"/>
                <w:highlight w:val="none"/>
                <w:lang w:val="en-US" w:eastAsia="zh-CN"/>
              </w:rPr>
              <w:t>20</w:t>
            </w:r>
            <w:r>
              <w:rPr>
                <w:rFonts w:hint="eastAsia" w:ascii="新宋体" w:hAnsi="新宋体" w:eastAsia="新宋体" w:cs="新宋体"/>
                <w:kern w:val="0"/>
                <w:sz w:val="21"/>
                <w:szCs w:val="21"/>
                <w:highlight w:val="none"/>
              </w:rPr>
              <w:t>分）</w:t>
            </w:r>
          </w:p>
        </w:tc>
        <w:tc>
          <w:tcPr>
            <w:tcW w:w="1857" w:type="dxa"/>
            <w:noWrap w:val="0"/>
            <w:vAlign w:val="center"/>
          </w:tcPr>
          <w:p>
            <w:pPr>
              <w:pStyle w:val="16"/>
              <w:spacing w:line="360" w:lineRule="auto"/>
              <w:ind w:firstLine="0" w:firstLineChars="0"/>
              <w:jc w:val="center"/>
              <w:rPr>
                <w:rFonts w:hint="eastAsia" w:ascii="新宋体" w:hAnsi="新宋体" w:eastAsia="新宋体" w:cs="新宋体"/>
                <w:b w:val="0"/>
                <w:bCs w:val="0"/>
                <w:kern w:val="0"/>
                <w:sz w:val="21"/>
                <w:szCs w:val="21"/>
              </w:rPr>
            </w:pPr>
            <w:r>
              <w:rPr>
                <w:rFonts w:hint="eastAsia" w:ascii="新宋体" w:hAnsi="新宋体" w:eastAsia="新宋体" w:cs="新宋体"/>
                <w:b w:val="0"/>
                <w:bCs w:val="0"/>
                <w:kern w:val="0"/>
                <w:sz w:val="21"/>
                <w:szCs w:val="21"/>
              </w:rPr>
              <w:t>商务标</w:t>
            </w:r>
          </w:p>
        </w:tc>
        <w:tc>
          <w:tcPr>
            <w:tcW w:w="6752" w:type="dxa"/>
            <w:noWrap w:val="0"/>
            <w:vAlign w:val="top"/>
          </w:tcPr>
          <w:p>
            <w:pPr>
              <w:snapToGrid w:val="0"/>
              <w:spacing w:line="360" w:lineRule="auto"/>
              <w:rPr>
                <w:rFonts w:hint="eastAsia" w:ascii="新宋体" w:hAnsi="新宋体" w:eastAsia="新宋体" w:cs="新宋体"/>
                <w:b w:val="0"/>
                <w:bCs w:val="0"/>
                <w:sz w:val="22"/>
                <w:szCs w:val="22"/>
              </w:rPr>
            </w:pPr>
            <w:r>
              <w:rPr>
                <w:rFonts w:hint="eastAsia" w:ascii="新宋体" w:hAnsi="新宋体" w:eastAsia="新宋体" w:cs="新宋体"/>
                <w:b w:val="0"/>
                <w:bCs w:val="0"/>
                <w:sz w:val="22"/>
                <w:szCs w:val="22"/>
              </w:rPr>
              <w:t>评标标底确定</w:t>
            </w:r>
          </w:p>
          <w:p>
            <w:pPr>
              <w:snapToGrid w:val="0"/>
              <w:spacing w:line="360" w:lineRule="auto"/>
              <w:rPr>
                <w:rFonts w:hint="eastAsia" w:ascii="新宋体" w:hAnsi="新宋体" w:eastAsia="新宋体" w:cs="新宋体"/>
                <w:b w:val="0"/>
                <w:bCs w:val="0"/>
                <w:sz w:val="22"/>
                <w:szCs w:val="22"/>
              </w:rPr>
            </w:pPr>
            <w:r>
              <w:rPr>
                <w:rFonts w:hint="eastAsia" w:ascii="新宋体" w:hAnsi="新宋体" w:eastAsia="新宋体" w:cs="新宋体"/>
                <w:b w:val="0"/>
                <w:bCs w:val="0"/>
                <w:sz w:val="22"/>
                <w:szCs w:val="22"/>
              </w:rPr>
              <w:t>1、评分由评标委员会对照各项指标对有效投标人进行打分，有效投标价的加权算术平均数为评标标底。</w:t>
            </w:r>
          </w:p>
          <w:p>
            <w:pPr>
              <w:snapToGrid w:val="0"/>
              <w:spacing w:line="360" w:lineRule="auto"/>
              <w:rPr>
                <w:rFonts w:hint="eastAsia" w:ascii="新宋体" w:hAnsi="新宋体" w:eastAsia="新宋体" w:cs="新宋体"/>
                <w:b w:val="0"/>
                <w:bCs w:val="0"/>
                <w:sz w:val="22"/>
                <w:szCs w:val="22"/>
              </w:rPr>
            </w:pPr>
            <w:r>
              <w:rPr>
                <w:rFonts w:hint="eastAsia" w:ascii="新宋体" w:hAnsi="新宋体" w:eastAsia="新宋体" w:cs="新宋体"/>
                <w:b w:val="0"/>
                <w:bCs w:val="0"/>
                <w:sz w:val="22"/>
                <w:szCs w:val="22"/>
              </w:rPr>
              <w:t>2、评标计分方法</w:t>
            </w:r>
          </w:p>
          <w:p>
            <w:pPr>
              <w:snapToGrid w:val="0"/>
              <w:spacing w:line="360" w:lineRule="auto"/>
              <w:rPr>
                <w:rFonts w:hint="eastAsia" w:ascii="新宋体" w:hAnsi="新宋体" w:eastAsia="新宋体" w:cs="新宋体"/>
                <w:b w:val="0"/>
                <w:bCs w:val="0"/>
                <w:sz w:val="22"/>
                <w:szCs w:val="22"/>
              </w:rPr>
            </w:pPr>
            <w:r>
              <w:rPr>
                <w:rFonts w:hint="eastAsia" w:ascii="新宋体" w:hAnsi="新宋体" w:eastAsia="新宋体" w:cs="新宋体"/>
                <w:b w:val="0"/>
                <w:bCs w:val="0"/>
                <w:sz w:val="22"/>
                <w:szCs w:val="22"/>
              </w:rPr>
              <w:t>当投标人的投标报价等于评标标底时得满分（</w:t>
            </w:r>
            <w:r>
              <w:rPr>
                <w:rFonts w:hint="eastAsia" w:ascii="新宋体" w:hAnsi="新宋体" w:eastAsia="新宋体" w:cs="新宋体"/>
                <w:b w:val="0"/>
                <w:bCs w:val="0"/>
                <w:sz w:val="22"/>
                <w:szCs w:val="22"/>
                <w:lang w:val="en-US" w:eastAsia="zh-CN"/>
              </w:rPr>
              <w:t>20</w:t>
            </w:r>
            <w:r>
              <w:rPr>
                <w:rFonts w:hint="eastAsia" w:ascii="新宋体" w:hAnsi="新宋体" w:eastAsia="新宋体" w:cs="新宋体"/>
                <w:b w:val="0"/>
                <w:bCs w:val="0"/>
                <w:sz w:val="22"/>
                <w:szCs w:val="22"/>
              </w:rPr>
              <w:t>分）。</w:t>
            </w:r>
          </w:p>
          <w:p>
            <w:pPr>
              <w:snapToGrid w:val="0"/>
              <w:spacing w:line="360" w:lineRule="auto"/>
              <w:rPr>
                <w:rFonts w:hint="eastAsia" w:ascii="新宋体" w:hAnsi="新宋体" w:eastAsia="新宋体" w:cs="新宋体"/>
                <w:b w:val="0"/>
                <w:bCs w:val="0"/>
                <w:sz w:val="22"/>
                <w:szCs w:val="22"/>
              </w:rPr>
            </w:pPr>
            <w:r>
              <w:rPr>
                <w:rFonts w:hint="eastAsia" w:ascii="新宋体" w:hAnsi="新宋体" w:eastAsia="新宋体" w:cs="新宋体"/>
                <w:b w:val="0"/>
                <w:bCs w:val="0"/>
                <w:sz w:val="22"/>
                <w:szCs w:val="22"/>
              </w:rPr>
              <w:t>每高于评标标底一个百分点扣0.20分；</w:t>
            </w:r>
          </w:p>
          <w:p>
            <w:pPr>
              <w:snapToGrid w:val="0"/>
              <w:spacing w:line="360" w:lineRule="auto"/>
              <w:rPr>
                <w:rFonts w:hint="eastAsia" w:ascii="新宋体" w:hAnsi="新宋体" w:eastAsia="新宋体" w:cs="新宋体"/>
                <w:b w:val="0"/>
                <w:bCs w:val="0"/>
                <w:sz w:val="22"/>
                <w:szCs w:val="22"/>
              </w:rPr>
            </w:pPr>
            <w:r>
              <w:rPr>
                <w:rFonts w:hint="eastAsia" w:ascii="新宋体" w:hAnsi="新宋体" w:eastAsia="新宋体" w:cs="新宋体"/>
                <w:b w:val="0"/>
                <w:bCs w:val="0"/>
                <w:sz w:val="22"/>
                <w:szCs w:val="22"/>
              </w:rPr>
              <w:t>每低于评标标底一个百分点扣0.10分；</w:t>
            </w:r>
          </w:p>
          <w:p>
            <w:pPr>
              <w:snapToGrid w:val="0"/>
              <w:spacing w:line="360" w:lineRule="auto"/>
              <w:rPr>
                <w:rFonts w:hint="eastAsia" w:ascii="新宋体" w:hAnsi="新宋体" w:eastAsia="新宋体" w:cs="新宋体"/>
                <w:b w:val="0"/>
                <w:bCs w:val="0"/>
                <w:sz w:val="22"/>
                <w:szCs w:val="22"/>
              </w:rPr>
            </w:pPr>
            <w:r>
              <w:rPr>
                <w:rFonts w:hint="eastAsia" w:ascii="新宋体" w:hAnsi="新宋体" w:eastAsia="新宋体" w:cs="新宋体"/>
                <w:b w:val="0"/>
                <w:bCs w:val="0"/>
                <w:sz w:val="22"/>
                <w:szCs w:val="22"/>
              </w:rPr>
              <w:t>中间值按插值法计算（保留二位小数），此项得分最低为0分。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1" w:hRule="atLeast"/>
        </w:trPr>
        <w:tc>
          <w:tcPr>
            <w:tcW w:w="1170" w:type="dxa"/>
            <w:noWrap w:val="0"/>
            <w:vAlign w:val="center"/>
          </w:tcPr>
          <w:p>
            <w:pPr>
              <w:snapToGrid w:val="0"/>
              <w:spacing w:line="360" w:lineRule="auto"/>
              <w:jc w:val="center"/>
              <w:rPr>
                <w:rFonts w:hint="eastAsia" w:ascii="新宋体" w:hAnsi="新宋体" w:eastAsia="新宋体" w:cs="新宋体"/>
                <w:kern w:val="0"/>
                <w:sz w:val="21"/>
                <w:szCs w:val="21"/>
                <w:highlight w:val="none"/>
              </w:rPr>
            </w:pPr>
            <w:r>
              <w:rPr>
                <w:rFonts w:hint="eastAsia" w:ascii="新宋体" w:hAnsi="新宋体" w:eastAsia="新宋体" w:cs="新宋体"/>
                <w:kern w:val="0"/>
                <w:sz w:val="21"/>
                <w:szCs w:val="21"/>
                <w:highlight w:val="none"/>
              </w:rPr>
              <w:t>现场答辩</w:t>
            </w:r>
          </w:p>
          <w:p>
            <w:pPr>
              <w:snapToGrid w:val="0"/>
              <w:spacing w:line="360" w:lineRule="auto"/>
              <w:jc w:val="center"/>
              <w:rPr>
                <w:rFonts w:hint="eastAsia" w:ascii="新宋体" w:hAnsi="新宋体" w:eastAsia="新宋体" w:cs="新宋体"/>
                <w:kern w:val="0"/>
                <w:sz w:val="21"/>
                <w:szCs w:val="21"/>
                <w:highlight w:val="none"/>
              </w:rPr>
            </w:pPr>
            <w:r>
              <w:rPr>
                <w:rFonts w:hint="eastAsia" w:ascii="新宋体" w:hAnsi="新宋体" w:eastAsia="新宋体" w:cs="新宋体"/>
                <w:kern w:val="0"/>
                <w:sz w:val="21"/>
                <w:szCs w:val="21"/>
                <w:highlight w:val="none"/>
              </w:rPr>
              <w:t>（</w:t>
            </w:r>
            <w:r>
              <w:rPr>
                <w:rFonts w:hint="eastAsia" w:ascii="新宋体" w:hAnsi="新宋体" w:eastAsia="新宋体" w:cs="新宋体"/>
                <w:kern w:val="0"/>
                <w:sz w:val="21"/>
                <w:szCs w:val="21"/>
                <w:highlight w:val="none"/>
                <w:lang w:val="en-US" w:eastAsia="zh-CN"/>
              </w:rPr>
              <w:t>10</w:t>
            </w:r>
            <w:r>
              <w:rPr>
                <w:rFonts w:hint="eastAsia" w:ascii="新宋体" w:hAnsi="新宋体" w:eastAsia="新宋体" w:cs="新宋体"/>
                <w:kern w:val="0"/>
                <w:sz w:val="21"/>
                <w:szCs w:val="21"/>
                <w:highlight w:val="none"/>
              </w:rPr>
              <w:t>分）</w:t>
            </w:r>
          </w:p>
        </w:tc>
        <w:tc>
          <w:tcPr>
            <w:tcW w:w="1857" w:type="dxa"/>
            <w:noWrap w:val="0"/>
            <w:vAlign w:val="center"/>
          </w:tcPr>
          <w:p>
            <w:pPr>
              <w:snapToGrid w:val="0"/>
              <w:spacing w:line="360" w:lineRule="auto"/>
              <w:jc w:val="center"/>
              <w:rPr>
                <w:rFonts w:hint="eastAsia" w:ascii="新宋体" w:hAnsi="新宋体" w:eastAsia="新宋体" w:cs="新宋体"/>
                <w:b w:val="0"/>
                <w:bCs w:val="0"/>
                <w:kern w:val="0"/>
                <w:sz w:val="21"/>
                <w:szCs w:val="21"/>
              </w:rPr>
            </w:pPr>
            <w:r>
              <w:rPr>
                <w:rFonts w:hint="eastAsia" w:ascii="新宋体" w:hAnsi="新宋体" w:eastAsia="新宋体" w:cs="新宋体"/>
                <w:b w:val="0"/>
                <w:bCs w:val="0"/>
                <w:sz w:val="21"/>
                <w:szCs w:val="21"/>
              </w:rPr>
              <w:t>现场答辩</w:t>
            </w:r>
          </w:p>
        </w:tc>
        <w:tc>
          <w:tcPr>
            <w:tcW w:w="6752" w:type="dxa"/>
            <w:noWrap w:val="0"/>
            <w:vAlign w:val="top"/>
          </w:tcPr>
          <w:p>
            <w:pPr>
              <w:keepNext w:val="0"/>
              <w:keepLines w:val="0"/>
              <w:pageBreakBefore w:val="0"/>
              <w:widowControl w:val="0"/>
              <w:numPr>
                <w:ilvl w:val="0"/>
                <w:numId w:val="7"/>
              </w:numPr>
              <w:kinsoku/>
              <w:wordWrap/>
              <w:overflowPunct/>
              <w:topLinePunct w:val="0"/>
              <w:autoSpaceDE w:val="0"/>
              <w:autoSpaceDN w:val="0"/>
              <w:bidi w:val="0"/>
              <w:adjustRightInd w:val="0"/>
              <w:snapToGrid/>
              <w:spacing w:line="360" w:lineRule="auto"/>
              <w:jc w:val="both"/>
              <w:textAlignment w:val="auto"/>
              <w:rPr>
                <w:rFonts w:hint="eastAsia" w:ascii="新宋体" w:hAnsi="新宋体" w:eastAsia="新宋体" w:cs="新宋体"/>
                <w:b w:val="0"/>
                <w:bCs w:val="0"/>
                <w:color w:val="auto"/>
                <w:sz w:val="22"/>
                <w:szCs w:val="22"/>
                <w:highlight w:val="none"/>
                <w:vertAlign w:val="baseline"/>
                <w:rtl w:val="0"/>
                <w:lang w:val="zh-CN" w:eastAsia="zh-CN"/>
              </w:rPr>
            </w:pPr>
            <w:r>
              <w:rPr>
                <w:rFonts w:hint="eastAsia" w:ascii="新宋体" w:hAnsi="新宋体" w:eastAsia="新宋体" w:cs="新宋体"/>
                <w:b w:val="0"/>
                <w:bCs w:val="0"/>
                <w:color w:val="auto"/>
                <w:sz w:val="22"/>
                <w:szCs w:val="22"/>
                <w:highlight w:val="none"/>
                <w:vertAlign w:val="baseline"/>
                <w:rtl w:val="0"/>
                <w:lang w:val="zh-CN" w:eastAsia="zh-CN"/>
              </w:rPr>
              <w:t>本单位</w:t>
            </w:r>
            <w:r>
              <w:rPr>
                <w:rFonts w:hint="eastAsia" w:ascii="新宋体" w:hAnsi="新宋体" w:eastAsia="新宋体" w:cs="新宋体"/>
                <w:b w:val="0"/>
                <w:bCs w:val="0"/>
                <w:color w:val="auto"/>
                <w:sz w:val="22"/>
                <w:szCs w:val="22"/>
                <w:highlight w:val="none"/>
                <w:vertAlign w:val="baseline"/>
                <w:rtl w:val="0"/>
                <w:lang w:val="zh-CN" w:eastAsia="zh-TW"/>
              </w:rPr>
              <w:t>开标</w:t>
            </w:r>
            <w:r>
              <w:rPr>
                <w:rFonts w:hint="eastAsia" w:ascii="新宋体" w:hAnsi="新宋体" w:eastAsia="新宋体" w:cs="新宋体"/>
                <w:b w:val="0"/>
                <w:bCs w:val="0"/>
                <w:color w:val="auto"/>
                <w:sz w:val="22"/>
                <w:szCs w:val="22"/>
                <w:highlight w:val="none"/>
                <w:vertAlign w:val="baseline"/>
                <w:rtl w:val="0"/>
                <w:lang w:val="zh-CN" w:eastAsia="zh-CN"/>
              </w:rPr>
              <w:t>时</w:t>
            </w:r>
            <w:r>
              <w:rPr>
                <w:rFonts w:hint="eastAsia" w:ascii="新宋体" w:hAnsi="新宋体" w:eastAsia="新宋体" w:cs="新宋体"/>
                <w:b w:val="0"/>
                <w:bCs w:val="0"/>
                <w:color w:val="auto"/>
                <w:sz w:val="22"/>
                <w:szCs w:val="22"/>
                <w:highlight w:val="none"/>
                <w:vertAlign w:val="baseline"/>
                <w:rtl w:val="0"/>
                <w:lang w:val="zh-CN" w:eastAsia="zh-TW"/>
              </w:rPr>
              <w:t>法人</w:t>
            </w:r>
            <w:r>
              <w:rPr>
                <w:rFonts w:hint="eastAsia" w:ascii="新宋体" w:hAnsi="新宋体" w:eastAsia="新宋体" w:cs="新宋体"/>
                <w:b w:val="0"/>
                <w:bCs w:val="0"/>
                <w:color w:val="auto"/>
                <w:sz w:val="22"/>
                <w:szCs w:val="22"/>
                <w:highlight w:val="none"/>
                <w:vertAlign w:val="baseline"/>
                <w:rtl w:val="0"/>
                <w:lang w:val="zh-CN" w:eastAsia="zh-CN"/>
              </w:rPr>
              <w:t>或拟任本项目负责人介绍情况，内容包括：企业概况、标书重点、管理理念及设想、承诺等；</w:t>
            </w:r>
          </w:p>
          <w:p>
            <w:pPr>
              <w:keepNext w:val="0"/>
              <w:keepLines w:val="0"/>
              <w:pageBreakBefore w:val="0"/>
              <w:widowControl w:val="0"/>
              <w:numPr>
                <w:ilvl w:val="0"/>
                <w:numId w:val="7"/>
              </w:numPr>
              <w:kinsoku/>
              <w:wordWrap/>
              <w:overflowPunct/>
              <w:topLinePunct w:val="0"/>
              <w:autoSpaceDE w:val="0"/>
              <w:autoSpaceDN w:val="0"/>
              <w:bidi w:val="0"/>
              <w:adjustRightInd w:val="0"/>
              <w:snapToGrid/>
              <w:spacing w:line="360" w:lineRule="auto"/>
              <w:jc w:val="both"/>
              <w:textAlignment w:val="auto"/>
              <w:rPr>
                <w:rFonts w:hint="eastAsia" w:ascii="新宋体" w:hAnsi="新宋体" w:eastAsia="新宋体" w:cs="新宋体"/>
                <w:b w:val="0"/>
                <w:bCs w:val="0"/>
                <w:color w:val="auto"/>
                <w:sz w:val="22"/>
                <w:szCs w:val="22"/>
                <w:highlight w:val="none"/>
                <w:vertAlign w:val="baseline"/>
                <w:rtl w:val="0"/>
                <w:lang w:val="en-US" w:eastAsia="zh-CN"/>
              </w:rPr>
            </w:pPr>
            <w:r>
              <w:rPr>
                <w:rFonts w:hint="eastAsia" w:ascii="新宋体" w:hAnsi="新宋体" w:eastAsia="新宋体" w:cs="新宋体"/>
                <w:b w:val="0"/>
                <w:bCs w:val="0"/>
                <w:color w:val="auto"/>
                <w:sz w:val="22"/>
                <w:szCs w:val="22"/>
                <w:highlight w:val="none"/>
                <w:vertAlign w:val="baseline"/>
                <w:rtl w:val="0"/>
                <w:lang w:val="en-US" w:eastAsia="zh-CN"/>
              </w:rPr>
              <w:t>投标企业法定代表人或拟任本项目经理回答评委提问，内容包括：标书内容及管理事项物业管理的法规知识、物业管理中发生的实际问题的处理及业主关心的其他问题等；</w:t>
            </w:r>
          </w:p>
          <w:p>
            <w:pPr>
              <w:keepNext w:val="0"/>
              <w:keepLines w:val="0"/>
              <w:pageBreakBefore w:val="0"/>
              <w:widowControl w:val="0"/>
              <w:numPr>
                <w:ilvl w:val="0"/>
                <w:numId w:val="7"/>
              </w:numPr>
              <w:kinsoku/>
              <w:wordWrap/>
              <w:overflowPunct/>
              <w:topLinePunct w:val="0"/>
              <w:autoSpaceDE w:val="0"/>
              <w:autoSpaceDN w:val="0"/>
              <w:bidi w:val="0"/>
              <w:adjustRightInd w:val="0"/>
              <w:snapToGrid/>
              <w:spacing w:line="360" w:lineRule="auto"/>
              <w:ind w:left="0" w:leftChars="0" w:firstLine="0" w:firstLineChars="0"/>
              <w:jc w:val="both"/>
              <w:textAlignment w:val="auto"/>
              <w:rPr>
                <w:rFonts w:hint="eastAsia" w:ascii="新宋体" w:hAnsi="新宋体" w:eastAsia="新宋体" w:cs="新宋体"/>
                <w:b w:val="0"/>
                <w:bCs w:val="0"/>
                <w:color w:val="auto"/>
                <w:sz w:val="22"/>
                <w:szCs w:val="22"/>
                <w:highlight w:val="none"/>
                <w:vertAlign w:val="baseline"/>
                <w:rtl w:val="0"/>
                <w:lang w:val="zh-CN" w:eastAsia="zh-TW"/>
              </w:rPr>
            </w:pPr>
            <w:r>
              <w:rPr>
                <w:rFonts w:hint="eastAsia" w:ascii="新宋体" w:hAnsi="新宋体" w:eastAsia="新宋体" w:cs="新宋体"/>
                <w:b w:val="0"/>
                <w:bCs w:val="0"/>
                <w:color w:val="auto"/>
                <w:sz w:val="22"/>
                <w:szCs w:val="22"/>
                <w:highlight w:val="none"/>
                <w:vertAlign w:val="baseline"/>
                <w:rtl w:val="0"/>
                <w:lang w:val="en-US" w:eastAsia="zh-CN"/>
              </w:rPr>
              <w:t>答辩人的仪容、仪表、表达能力等。</w:t>
            </w:r>
            <w:r>
              <w:rPr>
                <w:rFonts w:hint="eastAsia" w:ascii="新宋体" w:hAnsi="新宋体" w:eastAsia="新宋体" w:cs="新宋体"/>
                <w:b w:val="0"/>
                <w:bCs w:val="0"/>
                <w:color w:val="auto"/>
                <w:sz w:val="22"/>
                <w:szCs w:val="22"/>
                <w:highlight w:val="none"/>
                <w:vertAlign w:val="baseline"/>
                <w:rtl w:val="0"/>
                <w:lang w:val="zh-CN" w:eastAsia="zh-TW"/>
              </w:rPr>
              <w:t>评审区间：</w:t>
            </w:r>
          </w:p>
          <w:p>
            <w:pPr>
              <w:snapToGrid w:val="0"/>
              <w:spacing w:line="360" w:lineRule="auto"/>
              <w:jc w:val="left"/>
              <w:rPr>
                <w:rFonts w:hint="eastAsia" w:ascii="新宋体" w:hAnsi="新宋体" w:eastAsia="新宋体" w:cs="新宋体"/>
                <w:b w:val="0"/>
                <w:bCs w:val="0"/>
                <w:kern w:val="0"/>
                <w:sz w:val="22"/>
                <w:szCs w:val="22"/>
              </w:rPr>
            </w:pPr>
            <w:r>
              <w:rPr>
                <w:rFonts w:hint="eastAsia" w:ascii="新宋体" w:hAnsi="新宋体" w:eastAsia="新宋体" w:cs="新宋体"/>
                <w:b w:val="0"/>
                <w:bCs w:val="0"/>
                <w:color w:val="auto"/>
                <w:sz w:val="22"/>
                <w:szCs w:val="22"/>
                <w:highlight w:val="none"/>
                <w:vertAlign w:val="baseline"/>
                <w:rtl w:val="0"/>
                <w:lang w:val="en-US" w:eastAsia="zh-CN"/>
              </w:rPr>
              <w:t>评审专家综合对比，优秀</w:t>
            </w:r>
            <w:r>
              <w:rPr>
                <w:rFonts w:hint="eastAsia" w:ascii="新宋体" w:hAnsi="新宋体" w:eastAsia="新宋体" w:cs="新宋体"/>
                <w:b w:val="0"/>
                <w:bCs w:val="0"/>
                <w:color w:val="auto"/>
                <w:sz w:val="22"/>
                <w:szCs w:val="22"/>
                <w:highlight w:val="none"/>
                <w:vertAlign w:val="baseline"/>
                <w:rtl w:val="0"/>
                <w:lang w:val="zh-CN" w:eastAsia="zh-TW"/>
              </w:rPr>
              <w:t>的，得</w:t>
            </w:r>
            <w:r>
              <w:rPr>
                <w:rFonts w:hint="eastAsia" w:ascii="新宋体" w:hAnsi="新宋体" w:eastAsia="新宋体" w:cs="新宋体"/>
                <w:b w:val="0"/>
                <w:bCs w:val="0"/>
                <w:color w:val="auto"/>
                <w:sz w:val="22"/>
                <w:szCs w:val="22"/>
                <w:highlight w:val="none"/>
                <w:vertAlign w:val="baseline"/>
                <w:rtl w:val="0"/>
                <w:lang w:val="en-US" w:eastAsia="zh-CN"/>
              </w:rPr>
              <w:t>6</w:t>
            </w:r>
            <w:r>
              <w:rPr>
                <w:rFonts w:hint="eastAsia" w:ascii="新宋体" w:hAnsi="新宋体" w:eastAsia="新宋体" w:cs="新宋体"/>
                <w:b w:val="0"/>
                <w:bCs w:val="0"/>
                <w:color w:val="auto"/>
                <w:sz w:val="22"/>
                <w:szCs w:val="22"/>
                <w:highlight w:val="none"/>
                <w:vertAlign w:val="baseline"/>
                <w:rtl w:val="0"/>
                <w:lang w:val="zh-CN" w:eastAsia="zh-TW"/>
              </w:rPr>
              <w:t>-</w:t>
            </w:r>
            <w:r>
              <w:rPr>
                <w:rFonts w:hint="eastAsia" w:ascii="新宋体" w:hAnsi="新宋体" w:eastAsia="新宋体" w:cs="新宋体"/>
                <w:b w:val="0"/>
                <w:bCs w:val="0"/>
                <w:color w:val="auto"/>
                <w:sz w:val="22"/>
                <w:szCs w:val="22"/>
                <w:highlight w:val="none"/>
                <w:vertAlign w:val="baseline"/>
                <w:rtl w:val="0"/>
                <w:lang w:val="en-US" w:eastAsia="zh-CN"/>
              </w:rPr>
              <w:t>10</w:t>
            </w:r>
            <w:r>
              <w:rPr>
                <w:rFonts w:hint="eastAsia" w:ascii="新宋体" w:hAnsi="新宋体" w:eastAsia="新宋体" w:cs="新宋体"/>
                <w:b w:val="0"/>
                <w:bCs w:val="0"/>
                <w:color w:val="auto"/>
                <w:sz w:val="22"/>
                <w:szCs w:val="22"/>
                <w:highlight w:val="none"/>
                <w:vertAlign w:val="baseline"/>
                <w:rtl w:val="0"/>
                <w:lang w:val="zh-CN" w:eastAsia="zh-TW"/>
              </w:rPr>
              <w:t>分；</w:t>
            </w:r>
            <w:r>
              <w:rPr>
                <w:rFonts w:hint="eastAsia" w:ascii="新宋体" w:hAnsi="新宋体" w:eastAsia="新宋体" w:cs="新宋体"/>
                <w:b w:val="0"/>
                <w:bCs w:val="0"/>
                <w:color w:val="auto"/>
                <w:sz w:val="22"/>
                <w:szCs w:val="22"/>
                <w:highlight w:val="none"/>
                <w:vertAlign w:val="baseline"/>
                <w:rtl w:val="0"/>
                <w:lang w:val="en-US" w:eastAsia="zh-CN"/>
              </w:rPr>
              <w:t>良好</w:t>
            </w:r>
            <w:r>
              <w:rPr>
                <w:rFonts w:hint="eastAsia" w:ascii="新宋体" w:hAnsi="新宋体" w:eastAsia="新宋体" w:cs="新宋体"/>
                <w:b w:val="0"/>
                <w:bCs w:val="0"/>
                <w:color w:val="auto"/>
                <w:sz w:val="22"/>
                <w:szCs w:val="22"/>
                <w:highlight w:val="none"/>
                <w:vertAlign w:val="baseline"/>
                <w:rtl w:val="0"/>
                <w:lang w:val="zh-CN" w:eastAsia="zh-TW"/>
              </w:rPr>
              <w:t>的，得</w:t>
            </w:r>
            <w:r>
              <w:rPr>
                <w:rFonts w:hint="eastAsia" w:ascii="新宋体" w:hAnsi="新宋体" w:eastAsia="新宋体" w:cs="新宋体"/>
                <w:b w:val="0"/>
                <w:bCs w:val="0"/>
                <w:color w:val="auto"/>
                <w:sz w:val="22"/>
                <w:szCs w:val="22"/>
                <w:highlight w:val="none"/>
                <w:vertAlign w:val="baseline"/>
                <w:rtl w:val="0"/>
                <w:lang w:val="en-US" w:eastAsia="zh-CN"/>
              </w:rPr>
              <w:t>3</w:t>
            </w:r>
            <w:r>
              <w:rPr>
                <w:rFonts w:hint="eastAsia" w:ascii="新宋体" w:hAnsi="新宋体" w:eastAsia="新宋体" w:cs="新宋体"/>
                <w:b w:val="0"/>
                <w:bCs w:val="0"/>
                <w:color w:val="auto"/>
                <w:sz w:val="22"/>
                <w:szCs w:val="22"/>
                <w:highlight w:val="none"/>
                <w:vertAlign w:val="baseline"/>
                <w:rtl w:val="0"/>
                <w:lang w:val="zh-CN" w:eastAsia="zh-TW"/>
              </w:rPr>
              <w:t>-</w:t>
            </w:r>
            <w:r>
              <w:rPr>
                <w:rFonts w:hint="eastAsia" w:ascii="新宋体" w:hAnsi="新宋体" w:eastAsia="新宋体" w:cs="新宋体"/>
                <w:b w:val="0"/>
                <w:bCs w:val="0"/>
                <w:color w:val="auto"/>
                <w:sz w:val="22"/>
                <w:szCs w:val="22"/>
                <w:highlight w:val="none"/>
                <w:vertAlign w:val="baseline"/>
                <w:rtl w:val="0"/>
                <w:lang w:val="en-US" w:eastAsia="zh-CN"/>
              </w:rPr>
              <w:t>6</w:t>
            </w:r>
            <w:r>
              <w:rPr>
                <w:rFonts w:hint="eastAsia" w:ascii="新宋体" w:hAnsi="新宋体" w:eastAsia="新宋体" w:cs="新宋体"/>
                <w:b w:val="0"/>
                <w:bCs w:val="0"/>
                <w:color w:val="auto"/>
                <w:sz w:val="22"/>
                <w:szCs w:val="22"/>
                <w:highlight w:val="none"/>
                <w:vertAlign w:val="baseline"/>
                <w:rtl w:val="0"/>
                <w:lang w:val="zh-CN" w:eastAsia="zh-TW"/>
              </w:rPr>
              <w:t>分；</w:t>
            </w:r>
            <w:r>
              <w:rPr>
                <w:rFonts w:hint="eastAsia" w:ascii="新宋体" w:hAnsi="新宋体" w:eastAsia="新宋体" w:cs="新宋体"/>
                <w:b w:val="0"/>
                <w:bCs w:val="0"/>
                <w:color w:val="auto"/>
                <w:sz w:val="22"/>
                <w:szCs w:val="22"/>
                <w:highlight w:val="none"/>
                <w:vertAlign w:val="baseline"/>
                <w:rtl w:val="0"/>
                <w:lang w:val="en-US" w:eastAsia="zh-CN"/>
              </w:rPr>
              <w:t>一般</w:t>
            </w:r>
            <w:r>
              <w:rPr>
                <w:rFonts w:hint="eastAsia" w:ascii="新宋体" w:hAnsi="新宋体" w:eastAsia="新宋体" w:cs="新宋体"/>
                <w:b w:val="0"/>
                <w:bCs w:val="0"/>
                <w:color w:val="auto"/>
                <w:sz w:val="22"/>
                <w:szCs w:val="22"/>
                <w:highlight w:val="none"/>
                <w:vertAlign w:val="baseline"/>
                <w:rtl w:val="0"/>
                <w:lang w:val="zh-CN" w:eastAsia="zh-TW"/>
              </w:rPr>
              <w:t>的，得</w:t>
            </w:r>
            <w:r>
              <w:rPr>
                <w:rFonts w:hint="eastAsia" w:ascii="新宋体" w:hAnsi="新宋体" w:eastAsia="新宋体" w:cs="新宋体"/>
                <w:b w:val="0"/>
                <w:bCs w:val="0"/>
                <w:color w:val="auto"/>
                <w:sz w:val="22"/>
                <w:szCs w:val="22"/>
                <w:highlight w:val="none"/>
                <w:vertAlign w:val="baseline"/>
                <w:rtl w:val="0"/>
                <w:lang w:val="en-US" w:eastAsia="zh-CN"/>
              </w:rPr>
              <w:t>1</w:t>
            </w:r>
            <w:r>
              <w:rPr>
                <w:rFonts w:hint="eastAsia" w:ascii="新宋体" w:hAnsi="新宋体" w:eastAsia="新宋体" w:cs="新宋体"/>
                <w:b w:val="0"/>
                <w:bCs w:val="0"/>
                <w:color w:val="auto"/>
                <w:sz w:val="22"/>
                <w:szCs w:val="22"/>
                <w:highlight w:val="none"/>
                <w:vertAlign w:val="baseline"/>
                <w:rtl w:val="0"/>
                <w:lang w:val="zh-CN" w:eastAsia="zh-TW"/>
              </w:rPr>
              <w:t>-</w:t>
            </w:r>
            <w:r>
              <w:rPr>
                <w:rFonts w:hint="eastAsia" w:ascii="新宋体" w:hAnsi="新宋体" w:eastAsia="新宋体" w:cs="新宋体"/>
                <w:b w:val="0"/>
                <w:bCs w:val="0"/>
                <w:color w:val="auto"/>
                <w:sz w:val="22"/>
                <w:szCs w:val="22"/>
                <w:highlight w:val="none"/>
                <w:vertAlign w:val="baseline"/>
                <w:rtl w:val="0"/>
                <w:lang w:val="en-US" w:eastAsia="zh-CN"/>
              </w:rPr>
              <w:t>3</w:t>
            </w:r>
            <w:r>
              <w:rPr>
                <w:rFonts w:hint="eastAsia" w:ascii="新宋体" w:hAnsi="新宋体" w:eastAsia="新宋体" w:cs="新宋体"/>
                <w:b w:val="0"/>
                <w:bCs w:val="0"/>
                <w:color w:val="auto"/>
                <w:sz w:val="22"/>
                <w:szCs w:val="22"/>
                <w:highlight w:val="none"/>
                <w:vertAlign w:val="baseline"/>
                <w:rtl w:val="0"/>
                <w:lang w:val="zh-CN" w:eastAsia="zh-TW"/>
              </w:rPr>
              <w:t>分，</w:t>
            </w:r>
            <w:r>
              <w:rPr>
                <w:rFonts w:hint="eastAsia" w:ascii="新宋体" w:hAnsi="新宋体" w:eastAsia="新宋体" w:cs="新宋体"/>
                <w:b w:val="0"/>
                <w:bCs w:val="0"/>
                <w:color w:val="auto"/>
                <w:sz w:val="22"/>
                <w:szCs w:val="22"/>
                <w:highlight w:val="none"/>
                <w:vertAlign w:val="baseline"/>
                <w:rtl w:val="0"/>
                <w:lang w:val="en-US" w:eastAsia="zh-CN"/>
              </w:rPr>
              <w:t>差或未提供不得分</w:t>
            </w:r>
            <w:r>
              <w:rPr>
                <w:rFonts w:hint="eastAsia" w:ascii="新宋体" w:hAnsi="新宋体" w:eastAsia="新宋体" w:cs="新宋体"/>
                <w:b w:val="0"/>
                <w:bCs w:val="0"/>
                <w:color w:val="auto"/>
                <w:sz w:val="22"/>
                <w:szCs w:val="22"/>
                <w:highlight w:val="none"/>
                <w:vertAlign w:val="baseline"/>
                <w:rtl w:val="0"/>
                <w:lang w:val="zh-CN" w:eastAsia="zh-TW"/>
              </w:rPr>
              <w:t>；</w:t>
            </w:r>
          </w:p>
        </w:tc>
      </w:tr>
    </w:tbl>
    <w:p>
      <w:pPr>
        <w:snapToGrid w:val="0"/>
        <w:spacing w:line="360" w:lineRule="auto"/>
        <w:ind w:left="552" w:leftChars="263"/>
        <w:rPr>
          <w:rFonts w:hint="eastAsia" w:ascii="新宋体" w:hAnsi="新宋体" w:eastAsia="新宋体" w:cs="新宋体"/>
          <w:sz w:val="21"/>
          <w:szCs w:val="21"/>
        </w:rPr>
      </w:pPr>
    </w:p>
    <w:p>
      <w:pPr>
        <w:snapToGrid w:val="0"/>
        <w:spacing w:line="360" w:lineRule="auto"/>
        <w:ind w:left="552" w:leftChars="263"/>
        <w:rPr>
          <w:rFonts w:hint="eastAsia" w:ascii="新宋体" w:hAnsi="新宋体" w:eastAsia="新宋体" w:cs="新宋体"/>
          <w:sz w:val="24"/>
          <w:szCs w:val="24"/>
        </w:rPr>
      </w:pPr>
      <w:r>
        <w:rPr>
          <w:rFonts w:hint="eastAsia" w:ascii="新宋体" w:hAnsi="新宋体" w:eastAsia="新宋体" w:cs="新宋体"/>
          <w:sz w:val="24"/>
          <w:szCs w:val="24"/>
        </w:rPr>
        <w:t>二、评分原则</w:t>
      </w:r>
    </w:p>
    <w:p>
      <w:pPr>
        <w:snapToGrid w:val="0"/>
        <w:spacing w:line="360" w:lineRule="auto"/>
        <w:ind w:firstLine="477" w:firstLineChars="199"/>
        <w:rPr>
          <w:rFonts w:hint="eastAsia" w:ascii="新宋体" w:hAnsi="新宋体" w:eastAsia="新宋体" w:cs="新宋体"/>
          <w:sz w:val="24"/>
          <w:szCs w:val="24"/>
        </w:rPr>
      </w:pPr>
      <w:r>
        <w:rPr>
          <w:rFonts w:hint="eastAsia" w:ascii="新宋体" w:hAnsi="新宋体" w:eastAsia="新宋体" w:cs="新宋体"/>
          <w:sz w:val="24"/>
          <w:szCs w:val="24"/>
        </w:rPr>
        <w:t>技术标部分、资信部分、商务标部分所得分值，三项之和得出综合评分，评委会根据综合评分，提出书面评标报告，根据得分的高低推荐1-3名中标候选人。</w:t>
      </w:r>
    </w:p>
    <w:p>
      <w:pPr>
        <w:snapToGrid w:val="0"/>
        <w:spacing w:line="360" w:lineRule="auto"/>
        <w:ind w:firstLine="477" w:firstLineChars="199"/>
        <w:rPr>
          <w:rFonts w:hint="eastAsia" w:ascii="新宋体" w:hAnsi="新宋体" w:eastAsia="新宋体" w:cs="新宋体"/>
          <w:sz w:val="24"/>
          <w:szCs w:val="24"/>
        </w:rPr>
      </w:pPr>
      <w:r>
        <w:rPr>
          <w:rFonts w:hint="eastAsia" w:ascii="新宋体" w:hAnsi="新宋体" w:eastAsia="新宋体" w:cs="新宋体"/>
          <w:sz w:val="24"/>
          <w:szCs w:val="24"/>
        </w:rPr>
        <w:t>五、评标办法应在招标文件中载明，增加评标的透明度，接受各方的监督。但评标过程保密，不向未中标单位解释。</w:t>
      </w:r>
    </w:p>
    <w:p>
      <w:pPr>
        <w:snapToGrid w:val="0"/>
        <w:spacing w:line="360" w:lineRule="auto"/>
        <w:jc w:val="center"/>
        <w:rPr>
          <w:rFonts w:hint="eastAsia" w:ascii="新宋体" w:hAnsi="新宋体" w:eastAsia="新宋体" w:cs="新宋体"/>
          <w:b/>
          <w:sz w:val="36"/>
          <w:szCs w:val="36"/>
        </w:rPr>
      </w:pPr>
    </w:p>
    <w:p>
      <w:pPr>
        <w:pStyle w:val="49"/>
        <w:spacing w:line="360" w:lineRule="auto"/>
        <w:jc w:val="center"/>
        <w:rPr>
          <w:rFonts w:hint="eastAsia" w:ascii="宋体" w:hAnsi="宋体" w:eastAsia="宋体" w:cs="宋体"/>
          <w:b/>
          <w:bCs/>
          <w:sz w:val="28"/>
          <w:szCs w:val="28"/>
        </w:rPr>
      </w:pPr>
    </w:p>
    <w:p>
      <w:pPr>
        <w:pStyle w:val="49"/>
        <w:spacing w:line="360" w:lineRule="auto"/>
        <w:jc w:val="center"/>
        <w:rPr>
          <w:rFonts w:hint="eastAsia" w:ascii="宋体" w:hAnsi="宋体" w:eastAsia="宋体" w:cs="宋体"/>
          <w:b/>
          <w:bCs/>
          <w:sz w:val="28"/>
          <w:szCs w:val="28"/>
        </w:rPr>
      </w:pPr>
    </w:p>
    <w:p>
      <w:pPr>
        <w:pStyle w:val="49"/>
        <w:spacing w:line="360" w:lineRule="auto"/>
        <w:jc w:val="center"/>
        <w:rPr>
          <w:rFonts w:hint="eastAsia" w:ascii="宋体" w:hAnsi="宋体" w:eastAsia="宋体" w:cs="宋体"/>
          <w:b/>
          <w:bCs/>
          <w:sz w:val="28"/>
          <w:szCs w:val="28"/>
        </w:rPr>
      </w:pPr>
    </w:p>
    <w:p>
      <w:pPr>
        <w:pStyle w:val="49"/>
        <w:spacing w:line="360" w:lineRule="auto"/>
        <w:jc w:val="center"/>
        <w:rPr>
          <w:rFonts w:hint="eastAsia" w:ascii="宋体" w:hAnsi="宋体" w:eastAsia="宋体" w:cs="宋体"/>
          <w:b/>
          <w:bCs/>
          <w:sz w:val="28"/>
          <w:szCs w:val="28"/>
        </w:rPr>
      </w:pPr>
    </w:p>
    <w:p>
      <w:pPr>
        <w:pStyle w:val="49"/>
        <w:spacing w:line="360" w:lineRule="auto"/>
        <w:jc w:val="center"/>
        <w:rPr>
          <w:rFonts w:hint="eastAsia" w:ascii="宋体" w:hAnsi="宋体" w:eastAsia="宋体" w:cs="宋体"/>
          <w:b/>
          <w:bCs/>
          <w:sz w:val="28"/>
          <w:szCs w:val="28"/>
        </w:rPr>
      </w:pPr>
    </w:p>
    <w:p>
      <w:pPr>
        <w:pStyle w:val="49"/>
        <w:spacing w:line="360" w:lineRule="auto"/>
        <w:jc w:val="center"/>
        <w:rPr>
          <w:rFonts w:hint="eastAsia" w:ascii="宋体" w:hAnsi="宋体" w:eastAsia="宋体" w:cs="宋体"/>
          <w:b/>
          <w:bCs/>
          <w:sz w:val="28"/>
          <w:szCs w:val="28"/>
        </w:rPr>
      </w:pPr>
    </w:p>
    <w:p>
      <w:pPr>
        <w:pStyle w:val="49"/>
        <w:spacing w:line="360" w:lineRule="auto"/>
        <w:jc w:val="center"/>
        <w:rPr>
          <w:rFonts w:hint="eastAsia" w:ascii="宋体" w:hAnsi="宋体" w:eastAsia="宋体" w:cs="宋体"/>
          <w:b/>
          <w:bCs/>
          <w:sz w:val="28"/>
          <w:szCs w:val="28"/>
        </w:rPr>
      </w:pPr>
      <w:r>
        <w:rPr>
          <w:rFonts w:hint="eastAsia" w:ascii="宋体" w:hAnsi="宋体" w:eastAsia="宋体" w:cs="宋体"/>
          <w:b/>
          <w:bCs/>
          <w:sz w:val="28"/>
          <w:szCs w:val="28"/>
        </w:rPr>
        <w:t>（三）评标办法</w:t>
      </w:r>
    </w:p>
    <w:p>
      <w:pPr>
        <w:pStyle w:val="49"/>
        <w:spacing w:line="440" w:lineRule="exact"/>
        <w:rPr>
          <w:rFonts w:hint="eastAsia" w:ascii="宋体" w:hAnsi="宋体" w:eastAsia="宋体" w:cs="宋体"/>
          <w:b/>
          <w:bCs/>
          <w:sz w:val="24"/>
          <w:szCs w:val="24"/>
        </w:rPr>
      </w:pPr>
      <w:r>
        <w:rPr>
          <w:rFonts w:hint="eastAsia" w:ascii="宋体" w:hAnsi="宋体" w:eastAsia="宋体" w:cs="宋体"/>
          <w:b/>
          <w:bCs/>
          <w:sz w:val="24"/>
          <w:szCs w:val="24"/>
        </w:rPr>
        <w:t>1.评标方法</w:t>
      </w:r>
    </w:p>
    <w:p>
      <w:pPr>
        <w:pStyle w:val="49"/>
        <w:spacing w:line="440" w:lineRule="exact"/>
        <w:rPr>
          <w:rFonts w:hint="eastAsia" w:ascii="宋体" w:hAnsi="宋体" w:eastAsia="宋体" w:cs="宋体"/>
          <w:sz w:val="24"/>
          <w:szCs w:val="24"/>
        </w:rPr>
      </w:pPr>
      <w:r>
        <w:rPr>
          <w:rFonts w:hint="eastAsia" w:ascii="宋体" w:hAnsi="宋体" w:eastAsia="宋体" w:cs="宋体"/>
          <w:sz w:val="24"/>
          <w:szCs w:val="24"/>
        </w:rPr>
        <w:t>1.1评标委员会依据本章评标标准的规定对投标文件进行评审。</w:t>
      </w:r>
    </w:p>
    <w:p>
      <w:pPr>
        <w:pStyle w:val="49"/>
        <w:spacing w:line="440" w:lineRule="exact"/>
        <w:rPr>
          <w:rFonts w:hint="eastAsia" w:ascii="宋体" w:hAnsi="宋体" w:eastAsia="宋体" w:cs="宋体"/>
          <w:sz w:val="24"/>
        </w:rPr>
      </w:pPr>
      <w:r>
        <w:rPr>
          <w:rFonts w:hint="eastAsia" w:ascii="宋体" w:hAnsi="宋体" w:eastAsia="宋体" w:cs="宋体"/>
          <w:sz w:val="24"/>
          <w:szCs w:val="24"/>
        </w:rPr>
        <w:t>1.2</w:t>
      </w:r>
      <w:r>
        <w:rPr>
          <w:rFonts w:hint="eastAsia" w:ascii="宋体" w:hAnsi="宋体" w:eastAsia="宋体" w:cs="宋体"/>
          <w:sz w:val="24"/>
        </w:rPr>
        <w:t>投标人存在下列情形之一的，拒绝其参加本次投标（已投标的其投标文件将被否决）：</w:t>
      </w:r>
    </w:p>
    <w:p>
      <w:pPr>
        <w:tabs>
          <w:tab w:val="left" w:pos="0"/>
        </w:tabs>
        <w:spacing w:line="440" w:lineRule="exact"/>
        <w:rPr>
          <w:rFonts w:hint="eastAsia" w:ascii="宋体" w:hAnsi="宋体" w:cs="宋体"/>
          <w:kern w:val="0"/>
          <w:sz w:val="24"/>
          <w:szCs w:val="21"/>
        </w:rPr>
      </w:pPr>
      <w:r>
        <w:rPr>
          <w:rFonts w:hint="eastAsia" w:ascii="宋体" w:hAnsi="宋体" w:cs="宋体"/>
          <w:kern w:val="0"/>
          <w:sz w:val="24"/>
          <w:szCs w:val="21"/>
        </w:rPr>
        <w:t>（1）招标人不具有独立法人资格的附属机构（单位）；</w:t>
      </w:r>
    </w:p>
    <w:p>
      <w:pPr>
        <w:tabs>
          <w:tab w:val="left" w:pos="0"/>
        </w:tabs>
        <w:spacing w:line="440" w:lineRule="exact"/>
        <w:rPr>
          <w:rFonts w:hint="eastAsia" w:ascii="宋体" w:hAnsi="宋体" w:cs="宋体"/>
          <w:sz w:val="24"/>
        </w:rPr>
      </w:pPr>
      <w:r>
        <w:rPr>
          <w:rFonts w:hint="eastAsia" w:ascii="宋体" w:hAnsi="宋体" w:cs="宋体"/>
          <w:sz w:val="24"/>
        </w:rPr>
        <w:t>（2）被责令停业的；</w:t>
      </w:r>
    </w:p>
    <w:p>
      <w:pPr>
        <w:tabs>
          <w:tab w:val="left" w:pos="0"/>
        </w:tabs>
        <w:spacing w:line="440" w:lineRule="exact"/>
        <w:rPr>
          <w:rFonts w:hint="eastAsia" w:ascii="宋体" w:hAnsi="宋体" w:cs="宋体"/>
          <w:sz w:val="24"/>
        </w:rPr>
      </w:pPr>
      <w:r>
        <w:rPr>
          <w:rFonts w:hint="eastAsia" w:ascii="宋体" w:hAnsi="宋体" w:cs="宋体"/>
          <w:sz w:val="24"/>
        </w:rPr>
        <w:t>（3）被暂停或取消投标资格的（依据相关部门的处理决定及其处理效力和范围）；</w:t>
      </w:r>
    </w:p>
    <w:p>
      <w:pPr>
        <w:tabs>
          <w:tab w:val="left" w:pos="0"/>
        </w:tabs>
        <w:spacing w:line="440" w:lineRule="exact"/>
        <w:rPr>
          <w:rFonts w:hint="eastAsia" w:ascii="宋体" w:hAnsi="宋体" w:cs="宋体"/>
          <w:sz w:val="24"/>
        </w:rPr>
      </w:pPr>
      <w:r>
        <w:rPr>
          <w:rFonts w:hint="eastAsia" w:ascii="宋体" w:hAnsi="宋体" w:cs="宋体"/>
          <w:sz w:val="24"/>
        </w:rPr>
        <w:t>（4）财产被接管或冻结的；</w:t>
      </w:r>
    </w:p>
    <w:p>
      <w:pPr>
        <w:tabs>
          <w:tab w:val="left" w:pos="0"/>
        </w:tabs>
        <w:spacing w:line="440" w:lineRule="exact"/>
        <w:rPr>
          <w:rFonts w:hint="eastAsia" w:ascii="宋体" w:hAnsi="宋体" w:cs="宋体"/>
          <w:sz w:val="24"/>
        </w:rPr>
      </w:pPr>
      <w:r>
        <w:rPr>
          <w:rFonts w:hint="eastAsia" w:ascii="宋体" w:hAnsi="宋体" w:cs="宋体"/>
          <w:sz w:val="24"/>
        </w:rPr>
        <w:t>（5）在最近三年内有骗取中标或严重违约或重大工程质量问题，受到行政处罚的（依据相关部门的处理决定及其处理效力和范围）。</w:t>
      </w:r>
    </w:p>
    <w:p>
      <w:pPr>
        <w:pStyle w:val="49"/>
        <w:spacing w:line="440" w:lineRule="exact"/>
        <w:rPr>
          <w:rFonts w:hint="eastAsia" w:ascii="宋体" w:hAnsi="宋体" w:eastAsia="宋体" w:cs="宋体"/>
          <w:sz w:val="24"/>
          <w:szCs w:val="24"/>
        </w:rPr>
      </w:pPr>
      <w:r>
        <w:rPr>
          <w:rFonts w:hint="eastAsia" w:ascii="宋体" w:hAnsi="宋体" w:eastAsia="宋体" w:cs="宋体"/>
          <w:sz w:val="24"/>
          <w:szCs w:val="24"/>
        </w:rPr>
        <w:t>1.3综合评分法</w:t>
      </w:r>
    </w:p>
    <w:p>
      <w:pPr>
        <w:spacing w:line="440" w:lineRule="exact"/>
        <w:rPr>
          <w:rFonts w:hint="eastAsia" w:ascii="宋体" w:hAnsi="宋体" w:cs="宋体"/>
          <w:sz w:val="24"/>
        </w:rPr>
      </w:pPr>
      <w:r>
        <w:rPr>
          <w:rFonts w:hint="eastAsia" w:ascii="宋体" w:hAnsi="宋体" w:cs="宋体"/>
          <w:sz w:val="24"/>
        </w:rPr>
        <w:t>1.3.1评标委员会对满足招标文件实质性要求且通过资格审查和符合性审查的投标文件，进行综合评审打分阶段。</w:t>
      </w:r>
    </w:p>
    <w:p>
      <w:pPr>
        <w:spacing w:line="440" w:lineRule="exact"/>
        <w:rPr>
          <w:rFonts w:hint="eastAsia" w:ascii="宋体" w:hAnsi="宋体" w:cs="宋体"/>
          <w:sz w:val="24"/>
        </w:rPr>
      </w:pPr>
      <w:r>
        <w:rPr>
          <w:rFonts w:hint="eastAsia" w:ascii="宋体" w:hAnsi="宋体" w:cs="宋体"/>
          <w:sz w:val="24"/>
        </w:rPr>
        <w:t>1.3.2评标委员会根据投标人的综合得分，从高到低推荐1～3名有排序的中标候选人，</w:t>
      </w:r>
      <w:r>
        <w:rPr>
          <w:rFonts w:hint="eastAsia" w:ascii="宋体" w:hAnsi="宋体" w:cs="宋体"/>
          <w:sz w:val="24"/>
          <w:szCs w:val="24"/>
        </w:rPr>
        <w:t>若综合评审得分相同时，以投标报价低者优先；若投标报价再相同时，则由招标人以抽签的方式排序</w:t>
      </w:r>
      <w:r>
        <w:rPr>
          <w:rFonts w:hint="eastAsia" w:ascii="宋体" w:hAnsi="宋体" w:cs="宋体"/>
          <w:kern w:val="0"/>
          <w:sz w:val="24"/>
        </w:rPr>
        <w:t>。</w:t>
      </w:r>
    </w:p>
    <w:p>
      <w:pPr>
        <w:pStyle w:val="49"/>
        <w:spacing w:line="440" w:lineRule="exact"/>
        <w:rPr>
          <w:rFonts w:hint="eastAsia" w:ascii="宋体" w:hAnsi="宋体" w:eastAsia="宋体" w:cs="宋体"/>
          <w:b/>
          <w:bCs/>
          <w:sz w:val="24"/>
          <w:szCs w:val="24"/>
        </w:rPr>
      </w:pPr>
      <w:r>
        <w:rPr>
          <w:rFonts w:hint="eastAsia" w:ascii="宋体" w:hAnsi="宋体" w:eastAsia="宋体" w:cs="宋体"/>
          <w:b/>
          <w:bCs/>
          <w:sz w:val="24"/>
          <w:szCs w:val="24"/>
        </w:rPr>
        <w:t>2.评标原则</w:t>
      </w:r>
    </w:p>
    <w:p>
      <w:pPr>
        <w:pStyle w:val="49"/>
        <w:shd w:val="clear" w:color="auto" w:fill="FFFFFF"/>
        <w:spacing w:line="440" w:lineRule="exact"/>
        <w:ind w:firstLine="420"/>
        <w:rPr>
          <w:rFonts w:hint="eastAsia" w:ascii="宋体" w:hAnsi="宋体" w:eastAsia="宋体" w:cs="宋体"/>
          <w:sz w:val="24"/>
          <w:szCs w:val="24"/>
        </w:rPr>
      </w:pPr>
      <w:r>
        <w:rPr>
          <w:rFonts w:hint="eastAsia" w:ascii="宋体" w:hAnsi="宋体" w:eastAsia="宋体" w:cs="宋体"/>
          <w:sz w:val="24"/>
          <w:szCs w:val="24"/>
        </w:rPr>
        <w:t>遵循公平、公正、科学、择优的原则。</w:t>
      </w:r>
    </w:p>
    <w:p>
      <w:pPr>
        <w:pStyle w:val="49"/>
        <w:spacing w:line="440" w:lineRule="exact"/>
        <w:rPr>
          <w:rFonts w:hint="eastAsia" w:ascii="宋体" w:hAnsi="宋体" w:eastAsia="宋体" w:cs="宋体"/>
          <w:b/>
          <w:bCs/>
          <w:sz w:val="24"/>
          <w:szCs w:val="24"/>
        </w:rPr>
      </w:pPr>
      <w:r>
        <w:rPr>
          <w:rFonts w:hint="eastAsia" w:ascii="宋体" w:hAnsi="宋体" w:eastAsia="宋体" w:cs="宋体"/>
          <w:b/>
          <w:bCs/>
          <w:sz w:val="24"/>
          <w:szCs w:val="24"/>
        </w:rPr>
        <w:t>3.评标委员会组成及职责</w:t>
      </w:r>
    </w:p>
    <w:p>
      <w:pPr>
        <w:pStyle w:val="49"/>
        <w:shd w:val="clear" w:color="auto" w:fill="FFFFFF"/>
        <w:spacing w:line="440" w:lineRule="exact"/>
        <w:rPr>
          <w:rFonts w:hint="eastAsia" w:ascii="宋体" w:hAnsi="宋体" w:eastAsia="宋体" w:cs="宋体"/>
          <w:sz w:val="24"/>
          <w:szCs w:val="24"/>
        </w:rPr>
      </w:pPr>
      <w:r>
        <w:rPr>
          <w:rFonts w:hint="eastAsia" w:ascii="宋体" w:hAnsi="宋体" w:eastAsia="宋体" w:cs="宋体"/>
          <w:sz w:val="24"/>
          <w:szCs w:val="24"/>
        </w:rPr>
        <w:t>3.1评标委员会</w:t>
      </w:r>
    </w:p>
    <w:p>
      <w:pPr>
        <w:pStyle w:val="49"/>
        <w:shd w:val="clear" w:color="auto" w:fill="FFFFFF"/>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评标委员会由招标人依法组建。所有评标委员会成员推举产生评标委员会组长。</w:t>
      </w:r>
    </w:p>
    <w:p>
      <w:pPr>
        <w:pStyle w:val="49"/>
        <w:shd w:val="clear" w:color="auto" w:fill="FFFFFF"/>
        <w:snapToGrid w:val="0"/>
        <w:spacing w:line="440" w:lineRule="exact"/>
        <w:rPr>
          <w:rFonts w:hint="eastAsia" w:ascii="宋体" w:hAnsi="宋体" w:eastAsia="宋体" w:cs="宋体"/>
          <w:sz w:val="24"/>
          <w:szCs w:val="24"/>
        </w:rPr>
      </w:pPr>
      <w:r>
        <w:rPr>
          <w:rFonts w:hint="eastAsia" w:ascii="宋体" w:hAnsi="宋体" w:eastAsia="宋体" w:cs="宋体"/>
          <w:sz w:val="24"/>
          <w:szCs w:val="24"/>
        </w:rPr>
        <w:t>3.2 评标委员会的职责</w:t>
      </w:r>
    </w:p>
    <w:p>
      <w:pPr>
        <w:pStyle w:val="49"/>
        <w:shd w:val="clear" w:color="auto" w:fill="FFFFFF"/>
        <w:snapToGrid w:val="0"/>
        <w:spacing w:line="440" w:lineRule="exact"/>
        <w:ind w:firstLine="420"/>
        <w:rPr>
          <w:rFonts w:hint="eastAsia" w:ascii="宋体" w:hAnsi="宋体" w:eastAsia="宋体" w:cs="宋体"/>
          <w:sz w:val="24"/>
          <w:szCs w:val="24"/>
        </w:rPr>
      </w:pPr>
      <w:r>
        <w:rPr>
          <w:rFonts w:hint="eastAsia" w:ascii="宋体" w:hAnsi="宋体" w:eastAsia="宋体" w:cs="宋体"/>
          <w:sz w:val="24"/>
          <w:szCs w:val="24"/>
        </w:rPr>
        <w:t>评标委员会应当根据评标办法，对投标文件进行评审和比较，向招标人推荐中标候选人或根据招标人的授权直接确定中标人。各评委独立评审，提出评审意见，不受任何单位或者个人的干预。各评委对其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pPr>
        <w:pStyle w:val="49"/>
        <w:spacing w:line="440" w:lineRule="exact"/>
        <w:rPr>
          <w:rFonts w:hint="eastAsia" w:ascii="宋体" w:hAnsi="宋体" w:eastAsia="宋体" w:cs="宋体"/>
          <w:b/>
          <w:bCs/>
          <w:sz w:val="24"/>
          <w:szCs w:val="24"/>
        </w:rPr>
      </w:pPr>
      <w:r>
        <w:rPr>
          <w:rFonts w:hint="eastAsia" w:ascii="宋体" w:hAnsi="宋体" w:eastAsia="宋体" w:cs="宋体"/>
          <w:b/>
          <w:bCs/>
          <w:sz w:val="24"/>
          <w:szCs w:val="24"/>
        </w:rPr>
        <w:t>4.评标程序</w:t>
      </w:r>
    </w:p>
    <w:p>
      <w:pPr>
        <w:pStyle w:val="49"/>
        <w:shd w:val="clear" w:color="auto" w:fill="FFFFFF"/>
        <w:spacing w:line="440" w:lineRule="exact"/>
        <w:ind w:firstLine="412"/>
        <w:rPr>
          <w:rFonts w:hint="eastAsia" w:ascii="宋体" w:hAnsi="宋体" w:eastAsia="宋体" w:cs="宋体"/>
          <w:sz w:val="24"/>
          <w:szCs w:val="24"/>
        </w:rPr>
      </w:pPr>
      <w:r>
        <w:rPr>
          <w:rFonts w:hint="eastAsia" w:ascii="宋体" w:hAnsi="宋体" w:eastAsia="宋体" w:cs="宋体"/>
          <w:sz w:val="24"/>
          <w:szCs w:val="24"/>
        </w:rPr>
        <w:t>评标准备、资格评审、符合性评审、综合评审打分、综合得分汇总，根据综合得分进行排序，推荐中标候选人。</w:t>
      </w:r>
    </w:p>
    <w:p>
      <w:pPr>
        <w:pStyle w:val="49"/>
        <w:shd w:val="clear" w:color="auto" w:fill="FFFFFF"/>
        <w:snapToGrid w:val="0"/>
        <w:spacing w:line="440" w:lineRule="exact"/>
        <w:rPr>
          <w:rFonts w:hint="eastAsia" w:ascii="宋体" w:hAnsi="宋体" w:eastAsia="宋体" w:cs="宋体"/>
          <w:sz w:val="24"/>
          <w:szCs w:val="24"/>
        </w:rPr>
      </w:pPr>
      <w:r>
        <w:rPr>
          <w:rFonts w:hint="eastAsia" w:ascii="宋体" w:hAnsi="宋体" w:eastAsia="宋体" w:cs="宋体"/>
          <w:sz w:val="24"/>
          <w:szCs w:val="24"/>
        </w:rPr>
        <w:t>4.1评标准备</w:t>
      </w:r>
    </w:p>
    <w:p>
      <w:pPr>
        <w:pStyle w:val="49"/>
        <w:shd w:val="clear" w:color="auto" w:fill="FFFFFF"/>
        <w:spacing w:line="440" w:lineRule="exact"/>
        <w:ind w:firstLine="412"/>
        <w:rPr>
          <w:rFonts w:hint="eastAsia" w:ascii="宋体" w:hAnsi="宋体" w:eastAsia="宋体" w:cs="宋体"/>
          <w:sz w:val="24"/>
          <w:szCs w:val="24"/>
        </w:rPr>
      </w:pPr>
      <w:r>
        <w:rPr>
          <w:rFonts w:hint="eastAsia" w:ascii="宋体" w:hAnsi="宋体" w:eastAsia="宋体" w:cs="宋体"/>
          <w:sz w:val="24"/>
          <w:szCs w:val="24"/>
        </w:rPr>
        <w:t>评标委员会熟悉评标工作情况：</w:t>
      </w:r>
    </w:p>
    <w:p>
      <w:pPr>
        <w:pStyle w:val="49"/>
        <w:shd w:val="clear" w:color="auto" w:fill="FFFFFF"/>
        <w:spacing w:line="440" w:lineRule="exact"/>
        <w:ind w:firstLine="412"/>
        <w:rPr>
          <w:rFonts w:hint="eastAsia" w:ascii="宋体" w:hAnsi="宋体" w:eastAsia="宋体" w:cs="宋体"/>
          <w:sz w:val="24"/>
          <w:szCs w:val="24"/>
        </w:rPr>
      </w:pPr>
      <w:r>
        <w:rPr>
          <w:rFonts w:hint="eastAsia" w:ascii="宋体" w:hAnsi="宋体" w:eastAsia="宋体" w:cs="宋体"/>
          <w:sz w:val="24"/>
          <w:szCs w:val="24"/>
        </w:rPr>
        <w:t>(1)听取招标人或者其委托的工程招标代理机构对招标项目情况的介绍。</w:t>
      </w:r>
    </w:p>
    <w:p>
      <w:pPr>
        <w:pStyle w:val="49"/>
        <w:shd w:val="clear" w:color="auto" w:fill="FFFFFF"/>
        <w:spacing w:line="440" w:lineRule="exact"/>
        <w:ind w:firstLine="412"/>
        <w:rPr>
          <w:rFonts w:hint="eastAsia" w:ascii="宋体" w:hAnsi="宋体" w:eastAsia="宋体" w:cs="宋体"/>
          <w:sz w:val="24"/>
          <w:szCs w:val="24"/>
        </w:rPr>
      </w:pPr>
      <w:r>
        <w:rPr>
          <w:rFonts w:hint="eastAsia" w:ascii="宋体" w:hAnsi="宋体" w:eastAsia="宋体" w:cs="宋体"/>
          <w:sz w:val="24"/>
          <w:szCs w:val="24"/>
        </w:rPr>
        <w:t>(2)阅读、研究招标文件和相关评标资料，获取评标所需要的重要信息和数据,至少应了解和熟悉以下内容：招标的目标、招标项目的范围和性质、招标文件规定的主要技术要求、标准和商务条款。</w:t>
      </w:r>
    </w:p>
    <w:p>
      <w:pPr>
        <w:pStyle w:val="49"/>
        <w:shd w:val="clear" w:color="auto" w:fill="FFFFFF"/>
        <w:spacing w:line="440" w:lineRule="exact"/>
        <w:ind w:firstLine="412"/>
        <w:rPr>
          <w:rFonts w:hint="eastAsia" w:ascii="宋体" w:hAnsi="宋体" w:eastAsia="宋体" w:cs="宋体"/>
          <w:sz w:val="24"/>
          <w:szCs w:val="24"/>
        </w:rPr>
      </w:pPr>
      <w:r>
        <w:rPr>
          <w:rFonts w:hint="eastAsia" w:ascii="宋体" w:hAnsi="宋体" w:eastAsia="宋体" w:cs="宋体"/>
          <w:sz w:val="24"/>
          <w:szCs w:val="24"/>
        </w:rPr>
        <w:t>(3)熟悉招标文件规定的评标标准和评标方法及在评标过程中需要考虑的相关因素。</w:t>
      </w:r>
    </w:p>
    <w:p>
      <w:pPr>
        <w:pStyle w:val="49"/>
        <w:shd w:val="clear" w:color="auto" w:fill="FFFFFF"/>
        <w:spacing w:line="440" w:lineRule="exact"/>
        <w:ind w:firstLine="412"/>
        <w:rPr>
          <w:rFonts w:hint="eastAsia" w:ascii="宋体" w:hAnsi="宋体" w:eastAsia="宋体" w:cs="宋体"/>
          <w:sz w:val="24"/>
          <w:szCs w:val="24"/>
        </w:rPr>
      </w:pPr>
      <w:r>
        <w:rPr>
          <w:rFonts w:hint="eastAsia" w:ascii="宋体" w:hAnsi="宋体" w:eastAsia="宋体" w:cs="宋体"/>
          <w:sz w:val="24"/>
          <w:szCs w:val="24"/>
        </w:rPr>
        <w:t>(4)核对评标工作用表。</w:t>
      </w:r>
    </w:p>
    <w:p>
      <w:pPr>
        <w:pStyle w:val="49"/>
        <w:shd w:val="clear" w:color="auto" w:fill="FFFFFF"/>
        <w:spacing w:line="440" w:lineRule="exact"/>
        <w:rPr>
          <w:rFonts w:hint="eastAsia" w:ascii="宋体" w:hAnsi="宋体" w:eastAsia="宋体" w:cs="宋体"/>
          <w:sz w:val="24"/>
          <w:szCs w:val="24"/>
        </w:rPr>
      </w:pPr>
      <w:r>
        <w:rPr>
          <w:rFonts w:hint="eastAsia" w:ascii="宋体" w:hAnsi="宋体" w:eastAsia="宋体" w:cs="宋体"/>
          <w:sz w:val="24"/>
          <w:szCs w:val="24"/>
        </w:rPr>
        <w:t>4.2评审步骤</w:t>
      </w:r>
    </w:p>
    <w:p>
      <w:pPr>
        <w:pStyle w:val="49"/>
        <w:shd w:val="clear" w:color="auto" w:fill="FFFFFF"/>
        <w:spacing w:line="440" w:lineRule="exact"/>
        <w:rPr>
          <w:rFonts w:hint="eastAsia" w:ascii="宋体" w:hAnsi="宋体" w:eastAsia="宋体" w:cs="宋体"/>
          <w:sz w:val="24"/>
          <w:szCs w:val="24"/>
        </w:rPr>
      </w:pPr>
      <w:r>
        <w:rPr>
          <w:rFonts w:hint="eastAsia" w:ascii="宋体" w:hAnsi="宋体" w:eastAsia="宋体" w:cs="宋体"/>
          <w:sz w:val="24"/>
          <w:szCs w:val="24"/>
        </w:rPr>
        <w:t>4.2.1按评标办法前附表对投标文件进行资格和符合性评审。</w:t>
      </w:r>
    </w:p>
    <w:p>
      <w:pPr>
        <w:pStyle w:val="49"/>
        <w:shd w:val="clear" w:color="auto" w:fill="FFFFFF"/>
        <w:spacing w:line="440" w:lineRule="exact"/>
        <w:rPr>
          <w:rFonts w:hint="eastAsia" w:ascii="宋体" w:hAnsi="宋体" w:eastAsia="宋体" w:cs="宋体"/>
          <w:sz w:val="24"/>
          <w:szCs w:val="24"/>
        </w:rPr>
      </w:pPr>
      <w:r>
        <w:rPr>
          <w:rFonts w:hint="eastAsia" w:ascii="宋体" w:hAnsi="宋体" w:eastAsia="宋体" w:cs="宋体"/>
          <w:sz w:val="24"/>
          <w:szCs w:val="24"/>
        </w:rPr>
        <w:t>4.2.2资格和符合性评审通过的，先进行技术标部分评审，再进行商务标部分评审。</w:t>
      </w:r>
    </w:p>
    <w:p>
      <w:pPr>
        <w:pStyle w:val="49"/>
        <w:shd w:val="clear" w:color="auto" w:fill="FFFFFF"/>
        <w:spacing w:line="440" w:lineRule="exact"/>
        <w:rPr>
          <w:rFonts w:hint="eastAsia" w:ascii="宋体" w:hAnsi="宋体" w:eastAsia="宋体" w:cs="宋体"/>
          <w:sz w:val="24"/>
          <w:szCs w:val="24"/>
        </w:rPr>
      </w:pPr>
      <w:r>
        <w:rPr>
          <w:rFonts w:hint="eastAsia" w:ascii="宋体" w:hAnsi="宋体" w:eastAsia="宋体" w:cs="宋体"/>
          <w:sz w:val="24"/>
          <w:szCs w:val="24"/>
        </w:rPr>
        <w:t>4.2.3综合评审打分。</w:t>
      </w:r>
    </w:p>
    <w:p>
      <w:pPr>
        <w:pStyle w:val="49"/>
        <w:shd w:val="clear" w:color="auto" w:fill="FFFFFF"/>
        <w:spacing w:line="440" w:lineRule="exact"/>
        <w:rPr>
          <w:rFonts w:hint="eastAsia" w:ascii="宋体" w:hAnsi="宋体" w:eastAsia="宋体" w:cs="宋体"/>
          <w:sz w:val="24"/>
          <w:szCs w:val="24"/>
        </w:rPr>
      </w:pPr>
      <w:r>
        <w:rPr>
          <w:rFonts w:hint="eastAsia" w:ascii="宋体" w:hAnsi="宋体" w:eastAsia="宋体" w:cs="宋体"/>
          <w:sz w:val="24"/>
          <w:szCs w:val="24"/>
        </w:rPr>
        <w:t>4.2.5综合得分汇总.</w:t>
      </w:r>
    </w:p>
    <w:p>
      <w:pPr>
        <w:pStyle w:val="49"/>
        <w:spacing w:line="440" w:lineRule="exact"/>
        <w:rPr>
          <w:rFonts w:hint="eastAsia" w:ascii="宋体" w:hAnsi="宋体" w:eastAsia="宋体" w:cs="宋体"/>
          <w:b/>
          <w:bCs/>
          <w:sz w:val="24"/>
          <w:szCs w:val="24"/>
        </w:rPr>
      </w:pPr>
      <w:r>
        <w:rPr>
          <w:rFonts w:hint="eastAsia" w:ascii="宋体" w:hAnsi="宋体" w:eastAsia="宋体" w:cs="宋体"/>
          <w:b/>
          <w:bCs/>
          <w:sz w:val="24"/>
          <w:szCs w:val="24"/>
        </w:rPr>
        <w:t>5.评审内容</w:t>
      </w:r>
    </w:p>
    <w:p>
      <w:pPr>
        <w:pStyle w:val="49"/>
        <w:shd w:val="clear" w:color="auto" w:fill="FFFFFF"/>
        <w:spacing w:line="440" w:lineRule="exact"/>
        <w:rPr>
          <w:rFonts w:hint="eastAsia" w:ascii="宋体" w:hAnsi="宋体" w:eastAsia="宋体" w:cs="宋体"/>
          <w:sz w:val="24"/>
          <w:szCs w:val="24"/>
        </w:rPr>
      </w:pPr>
      <w:r>
        <w:rPr>
          <w:rFonts w:hint="eastAsia" w:ascii="宋体" w:hAnsi="宋体" w:eastAsia="宋体" w:cs="宋体"/>
          <w:sz w:val="24"/>
          <w:szCs w:val="24"/>
        </w:rPr>
        <w:t>5.1资格和符合性评审</w:t>
      </w:r>
    </w:p>
    <w:p>
      <w:pPr>
        <w:shd w:val="clear" w:color="auto" w:fill="FFFFFF"/>
        <w:snapToGrid w:val="0"/>
        <w:spacing w:line="440" w:lineRule="exact"/>
        <w:ind w:firstLine="480" w:firstLineChars="200"/>
        <w:rPr>
          <w:rFonts w:hint="eastAsia" w:ascii="宋体" w:hAnsi="宋体" w:cs="宋体"/>
          <w:sz w:val="24"/>
        </w:rPr>
      </w:pPr>
      <w:r>
        <w:rPr>
          <w:rFonts w:hint="eastAsia" w:ascii="宋体" w:hAnsi="宋体" w:cs="宋体"/>
          <w:sz w:val="24"/>
        </w:rPr>
        <w:t>资格和符合性评审：评标委员会依据招标文件规定的标准进行评审，不符合评审标准的，则按否决其投标处理。</w:t>
      </w:r>
    </w:p>
    <w:p>
      <w:pPr>
        <w:spacing w:line="440" w:lineRule="exact"/>
        <w:rPr>
          <w:rFonts w:hint="eastAsia" w:ascii="宋体" w:hAnsi="宋体" w:cs="宋体"/>
          <w:sz w:val="24"/>
        </w:rPr>
      </w:pPr>
      <w:bookmarkStart w:id="43" w:name="_Toc144974563"/>
      <w:bookmarkStart w:id="44" w:name="_Toc296602484"/>
      <w:bookmarkStart w:id="45" w:name="_Toc247085754"/>
      <w:bookmarkStart w:id="46" w:name="_Toc152045596"/>
      <w:bookmarkStart w:id="47" w:name="_Toc246996239"/>
      <w:bookmarkStart w:id="48" w:name="_Toc246996982"/>
      <w:bookmarkStart w:id="49" w:name="_Toc179632614"/>
      <w:bookmarkStart w:id="50" w:name="_Toc152042373"/>
      <w:r>
        <w:rPr>
          <w:rFonts w:hint="eastAsia" w:ascii="宋体" w:hAnsi="宋体" w:cs="宋体"/>
          <w:sz w:val="24"/>
        </w:rPr>
        <w:t>5.2投标文件的打分</w:t>
      </w:r>
    </w:p>
    <w:p>
      <w:pPr>
        <w:shd w:val="clear" w:color="auto" w:fill="FFFFFF"/>
        <w:snapToGrid w:val="0"/>
        <w:spacing w:line="440" w:lineRule="exact"/>
        <w:rPr>
          <w:rFonts w:hint="eastAsia" w:ascii="宋体" w:hAnsi="宋体" w:cs="宋体"/>
          <w:sz w:val="24"/>
        </w:rPr>
      </w:pPr>
      <w:r>
        <w:rPr>
          <w:rFonts w:hint="eastAsia" w:ascii="宋体" w:hAnsi="宋体" w:cs="宋体"/>
          <w:sz w:val="24"/>
        </w:rPr>
        <w:t>5.2.1由评标委员会按综合评审打分表对投标人的投标文件进行综合打分。</w:t>
      </w:r>
    </w:p>
    <w:p>
      <w:pPr>
        <w:shd w:val="clear" w:color="auto" w:fill="FFFFFF"/>
        <w:snapToGrid w:val="0"/>
        <w:spacing w:line="440" w:lineRule="exact"/>
        <w:rPr>
          <w:rFonts w:hint="eastAsia" w:ascii="宋体" w:hAnsi="宋体" w:cs="宋体"/>
          <w:sz w:val="24"/>
        </w:rPr>
      </w:pPr>
      <w:r>
        <w:rPr>
          <w:rFonts w:hint="eastAsia" w:ascii="宋体" w:hAnsi="宋体" w:cs="宋体"/>
          <w:sz w:val="24"/>
        </w:rPr>
        <w:t>5.2.2评分分值计算保留小数点后两位，小数点后第三位“四舍五入”。</w:t>
      </w:r>
    </w:p>
    <w:p>
      <w:pPr>
        <w:shd w:val="clear" w:color="auto" w:fill="FFFFFF"/>
        <w:snapToGrid w:val="0"/>
        <w:spacing w:line="440" w:lineRule="exact"/>
        <w:rPr>
          <w:rFonts w:hint="eastAsia" w:ascii="宋体" w:hAnsi="宋体" w:cs="宋体"/>
          <w:sz w:val="24"/>
        </w:rPr>
      </w:pPr>
      <w:r>
        <w:rPr>
          <w:rFonts w:hint="eastAsia" w:ascii="宋体" w:hAnsi="宋体" w:cs="宋体"/>
          <w:sz w:val="24"/>
        </w:rPr>
        <w:t>5.2.3投标人总得分=技术标部分得分+商务标部分得分+资信标得分。</w:t>
      </w:r>
    </w:p>
    <w:p>
      <w:pPr>
        <w:spacing w:line="440" w:lineRule="exact"/>
        <w:rPr>
          <w:rFonts w:hint="eastAsia" w:ascii="宋体" w:hAnsi="宋体" w:cs="宋体"/>
          <w:sz w:val="24"/>
        </w:rPr>
      </w:pPr>
      <w:r>
        <w:rPr>
          <w:rFonts w:hint="eastAsia" w:ascii="宋体" w:hAnsi="宋体" w:cs="宋体"/>
          <w:sz w:val="24"/>
        </w:rPr>
        <w:t>5.3 投标文件的澄清</w:t>
      </w:r>
      <w:bookmarkEnd w:id="43"/>
      <w:r>
        <w:rPr>
          <w:rFonts w:hint="eastAsia" w:ascii="宋体" w:hAnsi="宋体" w:cs="宋体"/>
          <w:sz w:val="24"/>
        </w:rPr>
        <w:t>和补正</w:t>
      </w:r>
      <w:bookmarkEnd w:id="44"/>
      <w:bookmarkEnd w:id="45"/>
      <w:bookmarkEnd w:id="46"/>
      <w:bookmarkEnd w:id="47"/>
      <w:bookmarkEnd w:id="48"/>
      <w:bookmarkEnd w:id="49"/>
      <w:bookmarkEnd w:id="50"/>
    </w:p>
    <w:p>
      <w:pPr>
        <w:spacing w:line="440" w:lineRule="exact"/>
        <w:rPr>
          <w:rFonts w:hint="eastAsia" w:ascii="宋体" w:hAnsi="宋体" w:cs="宋体"/>
          <w:sz w:val="24"/>
        </w:rPr>
      </w:pPr>
      <w:r>
        <w:rPr>
          <w:rFonts w:hint="eastAsia" w:ascii="宋体" w:hAnsi="宋体" w:cs="宋体"/>
          <w:sz w:val="24"/>
        </w:rPr>
        <w:t>5.3.1在评标过程中，评标委员会应以书面形式要求投标人对所提交的投标文件中不明确的内容进行书面澄清或说明，或者对细微偏差进行补正。评标委员会不接受投标人主动提出的澄清、说明或补正。</w:t>
      </w:r>
    </w:p>
    <w:p>
      <w:pPr>
        <w:spacing w:line="440" w:lineRule="exact"/>
        <w:rPr>
          <w:rFonts w:hint="eastAsia" w:ascii="宋体" w:hAnsi="宋体" w:cs="宋体"/>
          <w:sz w:val="24"/>
        </w:rPr>
      </w:pPr>
      <w:r>
        <w:rPr>
          <w:rFonts w:hint="eastAsia" w:ascii="宋体" w:hAnsi="宋体" w:cs="宋体"/>
          <w:sz w:val="24"/>
        </w:rPr>
        <w:t>5.3.2澄清、说明和补正不得改变投标文件的实质性内容。投标人的书面澄清、说明和补正属于投标文件的组成部分。</w:t>
      </w:r>
    </w:p>
    <w:p>
      <w:pPr>
        <w:spacing w:line="440" w:lineRule="exact"/>
        <w:rPr>
          <w:rFonts w:hint="eastAsia" w:ascii="宋体" w:hAnsi="宋体" w:cs="宋体"/>
          <w:sz w:val="24"/>
        </w:rPr>
      </w:pPr>
      <w:r>
        <w:rPr>
          <w:rFonts w:hint="eastAsia" w:ascii="宋体" w:hAnsi="宋体" w:cs="宋体"/>
          <w:sz w:val="24"/>
        </w:rPr>
        <w:t>5.3.3评标委员会对投标人提交的澄清、说明或补正有疑问的，可以要求投标人进一步澄清、说明或补正，直至满足评标委员会的要求。</w:t>
      </w:r>
    </w:p>
    <w:p>
      <w:pPr>
        <w:spacing w:line="440" w:lineRule="exact"/>
        <w:rPr>
          <w:rFonts w:hint="eastAsia" w:ascii="宋体" w:hAnsi="宋体" w:cs="宋体"/>
          <w:sz w:val="24"/>
        </w:rPr>
      </w:pPr>
      <w:bookmarkStart w:id="51" w:name="_Toc296602485"/>
      <w:bookmarkStart w:id="52" w:name="_Toc144974564"/>
      <w:bookmarkStart w:id="53" w:name="_Toc152045597"/>
      <w:bookmarkStart w:id="54" w:name="_Toc179632615"/>
      <w:bookmarkStart w:id="55" w:name="_Toc247085755"/>
      <w:bookmarkStart w:id="56" w:name="_Toc246996240"/>
      <w:bookmarkStart w:id="57" w:name="_Toc246996983"/>
      <w:bookmarkStart w:id="58" w:name="_Toc152042374"/>
      <w:r>
        <w:rPr>
          <w:rFonts w:hint="eastAsia" w:ascii="宋体" w:hAnsi="宋体" w:cs="宋体"/>
          <w:sz w:val="24"/>
        </w:rPr>
        <w:t>5.4评标结果</w:t>
      </w:r>
      <w:bookmarkEnd w:id="51"/>
      <w:bookmarkEnd w:id="52"/>
      <w:bookmarkEnd w:id="53"/>
      <w:bookmarkEnd w:id="54"/>
      <w:bookmarkEnd w:id="55"/>
      <w:bookmarkEnd w:id="56"/>
      <w:bookmarkEnd w:id="57"/>
      <w:bookmarkEnd w:id="58"/>
    </w:p>
    <w:p>
      <w:pPr>
        <w:spacing w:line="440" w:lineRule="exact"/>
        <w:rPr>
          <w:rFonts w:hint="eastAsia" w:ascii="宋体" w:hAnsi="宋体" w:cs="宋体"/>
          <w:sz w:val="24"/>
        </w:rPr>
      </w:pPr>
      <w:r>
        <w:rPr>
          <w:rFonts w:hint="eastAsia" w:ascii="宋体" w:hAnsi="宋体" w:cs="宋体"/>
          <w:sz w:val="24"/>
        </w:rPr>
        <w:t>5.4.1除第二章“投标人须知”前附表授权直接确定中标人外，评标委员会按照评审结果推荐 1-3名中标候选人，并标明排列顺序。</w:t>
      </w:r>
    </w:p>
    <w:p>
      <w:pPr>
        <w:spacing w:line="440" w:lineRule="exact"/>
        <w:rPr>
          <w:rFonts w:hint="eastAsia" w:ascii="宋体" w:hAnsi="宋体" w:cs="宋体"/>
          <w:sz w:val="24"/>
        </w:rPr>
      </w:pPr>
      <w:r>
        <w:rPr>
          <w:rFonts w:hint="eastAsia" w:ascii="宋体" w:hAnsi="宋体" w:cs="宋体"/>
          <w:sz w:val="24"/>
        </w:rPr>
        <w:t>5.4.2评标委员会完成评标后，应当向招标人提交书面评标报告。评标报告应记载以下内容：</w:t>
      </w:r>
    </w:p>
    <w:p>
      <w:pPr>
        <w:spacing w:line="440" w:lineRule="exact"/>
        <w:ind w:firstLine="240" w:firstLineChars="100"/>
        <w:rPr>
          <w:rFonts w:hint="eastAsia" w:ascii="宋体" w:hAnsi="宋体" w:cs="宋体"/>
          <w:sz w:val="24"/>
        </w:rPr>
      </w:pPr>
      <w:r>
        <w:rPr>
          <w:rFonts w:hint="eastAsia" w:ascii="宋体" w:hAnsi="宋体" w:cs="宋体"/>
          <w:sz w:val="24"/>
        </w:rPr>
        <w:t>(1)基本情况和数据表；</w:t>
      </w:r>
    </w:p>
    <w:p>
      <w:pPr>
        <w:spacing w:line="440" w:lineRule="exact"/>
        <w:ind w:firstLine="240" w:firstLineChars="100"/>
        <w:rPr>
          <w:rFonts w:hint="eastAsia" w:ascii="宋体" w:hAnsi="宋体" w:cs="宋体"/>
          <w:sz w:val="24"/>
        </w:rPr>
      </w:pPr>
      <w:r>
        <w:rPr>
          <w:rFonts w:hint="eastAsia" w:ascii="宋体" w:hAnsi="宋体" w:cs="宋体"/>
          <w:sz w:val="24"/>
        </w:rPr>
        <w:t>(2)评标委员会成员名单；</w:t>
      </w:r>
    </w:p>
    <w:p>
      <w:pPr>
        <w:spacing w:line="440" w:lineRule="exact"/>
        <w:ind w:firstLine="240" w:firstLineChars="100"/>
        <w:rPr>
          <w:rFonts w:hint="eastAsia" w:ascii="宋体" w:hAnsi="宋体" w:cs="宋体"/>
          <w:sz w:val="24"/>
        </w:rPr>
      </w:pPr>
      <w:r>
        <w:rPr>
          <w:rFonts w:hint="eastAsia" w:ascii="宋体" w:hAnsi="宋体" w:cs="宋体"/>
          <w:sz w:val="24"/>
        </w:rPr>
        <w:t>(3)开标记录；</w:t>
      </w:r>
    </w:p>
    <w:p>
      <w:pPr>
        <w:spacing w:line="440" w:lineRule="exact"/>
        <w:ind w:firstLine="240" w:firstLineChars="100"/>
        <w:rPr>
          <w:rFonts w:hint="eastAsia" w:ascii="宋体" w:hAnsi="宋体" w:cs="宋体"/>
          <w:sz w:val="24"/>
        </w:rPr>
      </w:pPr>
      <w:r>
        <w:rPr>
          <w:rFonts w:hint="eastAsia" w:ascii="宋体" w:hAnsi="宋体" w:cs="宋体"/>
          <w:sz w:val="24"/>
        </w:rPr>
        <w:t>(4)符合要求的投标人一览表；</w:t>
      </w:r>
    </w:p>
    <w:p>
      <w:pPr>
        <w:spacing w:line="440" w:lineRule="exact"/>
        <w:ind w:firstLine="240" w:firstLineChars="100"/>
        <w:rPr>
          <w:rFonts w:hint="eastAsia" w:ascii="宋体" w:hAnsi="宋体" w:cs="宋体"/>
          <w:sz w:val="24"/>
        </w:rPr>
      </w:pPr>
      <w:r>
        <w:rPr>
          <w:rFonts w:hint="eastAsia" w:ascii="宋体" w:hAnsi="宋体" w:cs="宋体"/>
          <w:sz w:val="24"/>
        </w:rPr>
        <w:t>(5)否决其投标情况说明；</w:t>
      </w:r>
    </w:p>
    <w:p>
      <w:pPr>
        <w:spacing w:line="440" w:lineRule="exact"/>
        <w:ind w:firstLine="240" w:firstLineChars="100"/>
        <w:rPr>
          <w:rFonts w:hint="eastAsia" w:ascii="宋体" w:hAnsi="宋体" w:cs="宋体"/>
          <w:sz w:val="24"/>
        </w:rPr>
      </w:pPr>
      <w:r>
        <w:rPr>
          <w:rFonts w:hint="eastAsia" w:ascii="宋体" w:hAnsi="宋体" w:cs="宋体"/>
          <w:sz w:val="24"/>
        </w:rPr>
        <w:t>(6)评标标准、评标方法或者评标因素一览表；</w:t>
      </w:r>
    </w:p>
    <w:p>
      <w:pPr>
        <w:spacing w:line="440" w:lineRule="exact"/>
        <w:ind w:firstLine="240" w:firstLineChars="100"/>
        <w:rPr>
          <w:rFonts w:hint="eastAsia" w:ascii="宋体" w:hAnsi="宋体" w:cs="宋体"/>
          <w:sz w:val="24"/>
        </w:rPr>
      </w:pPr>
      <w:bookmarkStart w:id="59" w:name="_Toc332211017"/>
      <w:r>
        <w:rPr>
          <w:rFonts w:hint="eastAsia" w:ascii="宋体" w:hAnsi="宋体" w:cs="宋体"/>
          <w:sz w:val="24"/>
        </w:rPr>
        <w:t>(7)经评审的价格一览表</w:t>
      </w:r>
      <w:bookmarkEnd w:id="59"/>
      <w:r>
        <w:rPr>
          <w:rFonts w:hint="eastAsia" w:ascii="宋体" w:hAnsi="宋体" w:cs="宋体"/>
          <w:sz w:val="24"/>
        </w:rPr>
        <w:t>；</w:t>
      </w:r>
    </w:p>
    <w:p>
      <w:pPr>
        <w:spacing w:line="440" w:lineRule="exact"/>
        <w:ind w:firstLine="240" w:firstLineChars="100"/>
        <w:rPr>
          <w:rFonts w:hint="eastAsia" w:ascii="宋体" w:hAnsi="宋体" w:cs="宋体"/>
          <w:sz w:val="24"/>
        </w:rPr>
      </w:pPr>
      <w:r>
        <w:rPr>
          <w:rFonts w:hint="eastAsia" w:ascii="宋体" w:hAnsi="宋体" w:cs="宋体"/>
          <w:sz w:val="24"/>
        </w:rPr>
        <w:t>(8)经评审的投标人排序；</w:t>
      </w:r>
    </w:p>
    <w:p>
      <w:pPr>
        <w:spacing w:line="440" w:lineRule="exact"/>
        <w:ind w:firstLine="240" w:firstLineChars="100"/>
        <w:rPr>
          <w:rFonts w:hint="eastAsia" w:ascii="宋体" w:hAnsi="宋体" w:cs="宋体"/>
          <w:sz w:val="24"/>
        </w:rPr>
      </w:pPr>
      <w:r>
        <w:rPr>
          <w:rFonts w:hint="eastAsia" w:ascii="宋体" w:hAnsi="宋体" w:cs="宋体"/>
          <w:sz w:val="24"/>
        </w:rPr>
        <w:t>(9)推荐的中标候选人名单与签订合同前要处理的事宜；</w:t>
      </w:r>
    </w:p>
    <w:p>
      <w:pPr>
        <w:spacing w:line="440" w:lineRule="exact"/>
        <w:ind w:firstLine="240" w:firstLineChars="100"/>
        <w:rPr>
          <w:rFonts w:hint="eastAsia" w:ascii="宋体" w:hAnsi="宋体" w:cs="宋体"/>
          <w:sz w:val="24"/>
        </w:rPr>
      </w:pPr>
      <w:r>
        <w:rPr>
          <w:rFonts w:hint="eastAsia" w:ascii="宋体" w:hAnsi="宋体" w:cs="宋体"/>
          <w:sz w:val="24"/>
        </w:rPr>
        <w:t>(10)澄清、说明、补正事项纪要。</w:t>
      </w:r>
    </w:p>
    <w:p>
      <w:pPr>
        <w:spacing w:line="440" w:lineRule="exact"/>
        <w:rPr>
          <w:rFonts w:hint="eastAsia" w:ascii="宋体" w:hAnsi="宋体" w:cs="宋体"/>
          <w:sz w:val="24"/>
        </w:rPr>
      </w:pPr>
      <w:r>
        <w:rPr>
          <w:rFonts w:hint="eastAsia" w:ascii="宋体" w:hAnsi="宋体" w:cs="宋体"/>
          <w:sz w:val="24"/>
        </w:rPr>
        <w:t>5.4.3依法必须进行招标的项目，招标人应当确定排名第一的中标候选人为中标人。排名第一的中标候选人放弃中标、因不可抗力提出不能履行合同，或者招标文件规定应当提交履约保证金而在规定的期限内未能提交的，招标人可以确定排名第二的中标候选人为中标人。依次类推，也可以重新招标。</w:t>
      </w:r>
    </w:p>
    <w:p>
      <w:pPr>
        <w:pStyle w:val="49"/>
        <w:spacing w:line="440" w:lineRule="exact"/>
        <w:rPr>
          <w:rFonts w:hint="eastAsia" w:ascii="宋体" w:hAnsi="宋体" w:eastAsia="宋体" w:cs="宋体"/>
          <w:b/>
          <w:bCs/>
          <w:sz w:val="24"/>
          <w:szCs w:val="24"/>
        </w:rPr>
      </w:pPr>
      <w:r>
        <w:rPr>
          <w:rFonts w:hint="eastAsia" w:ascii="宋体" w:hAnsi="宋体" w:eastAsia="宋体" w:cs="宋体"/>
          <w:b/>
          <w:bCs/>
          <w:sz w:val="24"/>
          <w:szCs w:val="24"/>
        </w:rPr>
        <w:t>6.废标条款</w:t>
      </w:r>
    </w:p>
    <w:p>
      <w:pPr>
        <w:spacing w:line="440" w:lineRule="exact"/>
        <w:rPr>
          <w:rFonts w:hint="eastAsia" w:ascii="宋体" w:hAnsi="宋体" w:cs="宋体"/>
          <w:b/>
          <w:sz w:val="24"/>
          <w:szCs w:val="24"/>
        </w:rPr>
      </w:pPr>
      <w:r>
        <w:rPr>
          <w:rFonts w:hint="eastAsia" w:ascii="宋体" w:hAnsi="宋体" w:cs="宋体"/>
          <w:b/>
          <w:sz w:val="24"/>
          <w:szCs w:val="24"/>
        </w:rPr>
        <w:t>6.1 投标人有以下情形之一的，初步评审后其投标作废标处理：</w:t>
      </w:r>
    </w:p>
    <w:p>
      <w:pPr>
        <w:spacing w:line="440" w:lineRule="exact"/>
        <w:ind w:firstLine="240" w:firstLineChars="100"/>
        <w:rPr>
          <w:rFonts w:hint="eastAsia" w:ascii="宋体" w:hAnsi="宋体" w:cs="宋体"/>
          <w:sz w:val="24"/>
          <w:szCs w:val="24"/>
        </w:rPr>
      </w:pPr>
      <w:r>
        <w:rPr>
          <w:rFonts w:hint="eastAsia" w:ascii="宋体" w:hAnsi="宋体" w:cs="宋体"/>
          <w:sz w:val="24"/>
          <w:szCs w:val="24"/>
        </w:rPr>
        <w:t>(1）串通投标或弄虚作假或有其他违法行为的。串通投标行为是指：</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w:t>
      </w:r>
      <w:r>
        <w:rPr>
          <w:rFonts w:hint="eastAsia" w:ascii="宋体" w:hAnsi="宋体" w:cs="宋体"/>
          <w:sz w:val="24"/>
          <w:szCs w:val="24"/>
          <w:lang w:eastAsia="zh-CN"/>
        </w:rPr>
        <w:t>B</w:t>
      </w:r>
      <w:r>
        <w:rPr>
          <w:rFonts w:hint="eastAsia" w:ascii="宋体" w:hAnsi="宋体" w:cs="宋体"/>
          <w:sz w:val="24"/>
          <w:szCs w:val="24"/>
        </w:rPr>
        <w:t>）不同投标人的投标文件内容存在非正常一致的；</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（b）不同投标人的投标报价或报价组成异常一致或呈规律性变化的；</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（c）不同投标人委托同一人投标或与同一人联合投标的；</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（d）不同投标人的投标文件载明的项目管理班子成员出现同一人的；</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（e）不同投标人的投标文件相互混装的；</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（f）不同投标人的投标文件由同一单位或同一人编制的；</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（g）不同投标人使用同一人或企业资金缴纳投标保证金的；</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（h）不同投标人聘请同一人或同一中介机构为其投标提供技术或经济咨询服务的；</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构成串通投标或弄虚作假行为的，记入不良行为记录。</w:t>
      </w:r>
    </w:p>
    <w:p>
      <w:pPr>
        <w:spacing w:line="440" w:lineRule="exact"/>
        <w:ind w:firstLine="240" w:firstLineChars="100"/>
        <w:rPr>
          <w:rFonts w:hint="eastAsia" w:ascii="宋体" w:hAnsi="宋体" w:cs="宋体"/>
          <w:sz w:val="24"/>
          <w:szCs w:val="24"/>
        </w:rPr>
      </w:pPr>
      <w:r>
        <w:rPr>
          <w:rFonts w:hint="eastAsia" w:ascii="宋体" w:hAnsi="宋体" w:cs="宋体"/>
          <w:sz w:val="24"/>
          <w:szCs w:val="24"/>
        </w:rPr>
        <w:t>(2）不按评标委员会要求澄清、说明或补正的。</w:t>
      </w:r>
    </w:p>
    <w:p>
      <w:pPr>
        <w:spacing w:line="440" w:lineRule="exact"/>
        <w:ind w:firstLine="240" w:firstLineChars="100"/>
        <w:rPr>
          <w:rFonts w:hint="eastAsia" w:ascii="宋体" w:hAnsi="宋体" w:cs="宋体"/>
          <w:sz w:val="24"/>
          <w:szCs w:val="24"/>
        </w:rPr>
      </w:pPr>
      <w:r>
        <w:rPr>
          <w:rFonts w:hint="eastAsia" w:ascii="宋体" w:hAnsi="宋体" w:cs="宋体"/>
          <w:sz w:val="24"/>
          <w:szCs w:val="24"/>
        </w:rPr>
        <w:t>(3)投标函中投标报价、服务期限，评审文件不能满足招标文件要求,或作出的承诺与招标文件中提供的投标函样本中相关内容相抵触或有遗漏的。</w:t>
      </w:r>
    </w:p>
    <w:p>
      <w:pPr>
        <w:spacing w:line="440" w:lineRule="exact"/>
        <w:ind w:firstLine="240" w:firstLineChars="100"/>
        <w:rPr>
          <w:rFonts w:hint="eastAsia" w:ascii="宋体" w:hAnsi="宋体" w:cs="宋体"/>
          <w:sz w:val="24"/>
          <w:szCs w:val="24"/>
        </w:rPr>
      </w:pPr>
      <w:r>
        <w:rPr>
          <w:rFonts w:hint="eastAsia" w:ascii="宋体" w:hAnsi="宋体" w:cs="宋体"/>
          <w:sz w:val="24"/>
          <w:szCs w:val="24"/>
        </w:rPr>
        <w:t>(4) 未按规定的格式填写，实质性内容不全或关键字迹模糊、无法辨认的。</w:t>
      </w:r>
    </w:p>
    <w:p>
      <w:pPr>
        <w:spacing w:line="440" w:lineRule="exact"/>
        <w:ind w:firstLine="240" w:firstLineChars="100"/>
        <w:rPr>
          <w:rFonts w:hint="eastAsia" w:ascii="宋体" w:hAnsi="宋体" w:cs="宋体"/>
          <w:sz w:val="24"/>
          <w:szCs w:val="24"/>
        </w:rPr>
      </w:pPr>
      <w:r>
        <w:rPr>
          <w:rFonts w:hint="eastAsia" w:ascii="宋体" w:hAnsi="宋体" w:cs="宋体"/>
          <w:sz w:val="24"/>
          <w:szCs w:val="24"/>
        </w:rPr>
        <w:t>(5)投标人递交两份或多份内容不同的投标文件，或在一份投标文件中对同一招标项目报有两个或多个报价，且未声明哪一个有效的。按招标文件规定提交备选投标方案的除外。</w:t>
      </w:r>
    </w:p>
    <w:p>
      <w:pPr>
        <w:spacing w:line="440" w:lineRule="exact"/>
        <w:ind w:firstLine="240" w:firstLineChars="100"/>
        <w:rPr>
          <w:rFonts w:hint="eastAsia" w:ascii="宋体" w:hAnsi="宋体" w:cs="宋体"/>
          <w:sz w:val="24"/>
          <w:szCs w:val="24"/>
        </w:rPr>
      </w:pPr>
      <w:r>
        <w:rPr>
          <w:rFonts w:hint="eastAsia" w:ascii="宋体" w:hAnsi="宋体" w:cs="宋体"/>
          <w:sz w:val="24"/>
          <w:szCs w:val="24"/>
        </w:rPr>
        <w:t>（6）不符合招标文件前附表要求的。</w:t>
      </w:r>
    </w:p>
    <w:p>
      <w:pPr>
        <w:spacing w:line="440" w:lineRule="exact"/>
        <w:ind w:firstLine="240" w:firstLineChars="100"/>
        <w:rPr>
          <w:rFonts w:hint="eastAsia" w:ascii="宋体" w:hAnsi="宋体" w:cs="宋体"/>
          <w:sz w:val="24"/>
          <w:szCs w:val="24"/>
        </w:rPr>
      </w:pPr>
      <w:r>
        <w:rPr>
          <w:rFonts w:hint="eastAsia" w:ascii="宋体" w:hAnsi="宋体" w:cs="宋体"/>
          <w:sz w:val="24"/>
          <w:szCs w:val="24"/>
        </w:rPr>
        <w:t>(7) 投标文件中存在招标人不能接受的其它实质性条件。</w:t>
      </w:r>
    </w:p>
    <w:p>
      <w:pPr>
        <w:pStyle w:val="50"/>
        <w:tabs>
          <w:tab w:val="left" w:pos="720"/>
        </w:tabs>
        <w:spacing w:before="0" w:line="440" w:lineRule="exact"/>
        <w:outlineLvl w:val="9"/>
        <w:rPr>
          <w:rFonts w:hint="eastAsia" w:ascii="宋体" w:hAnsi="宋体" w:eastAsia="宋体"/>
          <w:b/>
          <w:bCs/>
          <w:sz w:val="24"/>
          <w:szCs w:val="24"/>
        </w:rPr>
      </w:pPr>
      <w:bookmarkStart w:id="60" w:name="_Toc402426885"/>
      <w:bookmarkStart w:id="61" w:name="_Toc402855792"/>
      <w:bookmarkStart w:id="62" w:name="_Toc394241259"/>
      <w:r>
        <w:rPr>
          <w:rFonts w:hint="eastAsia" w:ascii="宋体" w:hAnsi="宋体" w:eastAsia="宋体"/>
          <w:b/>
          <w:bCs/>
          <w:sz w:val="24"/>
          <w:szCs w:val="24"/>
        </w:rPr>
        <w:t>7.投标文件的澄清和补正</w:t>
      </w:r>
      <w:bookmarkEnd w:id="60"/>
      <w:bookmarkEnd w:id="61"/>
      <w:bookmarkEnd w:id="62"/>
    </w:p>
    <w:p>
      <w:pPr>
        <w:spacing w:line="440" w:lineRule="exact"/>
        <w:rPr>
          <w:rFonts w:hint="eastAsia" w:ascii="宋体" w:hAnsi="宋体" w:cs="宋体"/>
          <w:sz w:val="24"/>
          <w:szCs w:val="24"/>
        </w:rPr>
      </w:pPr>
      <w:r>
        <w:rPr>
          <w:rFonts w:hint="eastAsia" w:ascii="宋体" w:hAnsi="宋体" w:cs="宋体"/>
          <w:sz w:val="24"/>
          <w:szCs w:val="24"/>
        </w:rPr>
        <w:t>7.1 在评标过程中，评标委员会可以书面形式要求投标人对所提交的投标文件中不明确的内容进行书面澄清或说明，或者对细微偏差进行补正。评标委员会不接受投标人主动提出的澄清、说明或补正。</w:t>
      </w:r>
    </w:p>
    <w:p>
      <w:pPr>
        <w:spacing w:line="440" w:lineRule="exact"/>
        <w:rPr>
          <w:rFonts w:hint="eastAsia" w:ascii="宋体" w:hAnsi="宋体" w:cs="宋体"/>
          <w:sz w:val="24"/>
          <w:szCs w:val="24"/>
        </w:rPr>
      </w:pPr>
      <w:r>
        <w:rPr>
          <w:rFonts w:hint="eastAsia" w:ascii="宋体" w:hAnsi="宋体" w:cs="宋体"/>
          <w:sz w:val="24"/>
          <w:szCs w:val="24"/>
        </w:rPr>
        <w:t>7.2澄清、说明和补正不得改变投标文件的实质性内容。投标人的书面澄清、说明和补正属于投标文件的组成部分。</w:t>
      </w:r>
    </w:p>
    <w:p>
      <w:pPr>
        <w:spacing w:line="440" w:lineRule="exact"/>
        <w:rPr>
          <w:rFonts w:hint="eastAsia" w:ascii="宋体" w:hAnsi="宋体" w:cs="宋体"/>
          <w:sz w:val="24"/>
          <w:szCs w:val="24"/>
        </w:rPr>
      </w:pPr>
      <w:r>
        <w:rPr>
          <w:rFonts w:hint="eastAsia" w:ascii="宋体" w:hAnsi="宋体" w:cs="宋体"/>
          <w:sz w:val="24"/>
          <w:szCs w:val="24"/>
        </w:rPr>
        <w:t>7.3评标委员会对投标人提交的澄清、说明或补正有疑问的，可以要求投标人进一步澄清、说明或补正，直至满足评标委员会的要求。</w:t>
      </w:r>
    </w:p>
    <w:p>
      <w:pPr>
        <w:pStyle w:val="50"/>
        <w:tabs>
          <w:tab w:val="left" w:pos="720"/>
        </w:tabs>
        <w:spacing w:before="0" w:line="440" w:lineRule="exact"/>
        <w:outlineLvl w:val="9"/>
        <w:rPr>
          <w:rFonts w:hint="eastAsia" w:ascii="宋体" w:hAnsi="宋体" w:eastAsia="宋体"/>
          <w:b/>
          <w:bCs/>
          <w:sz w:val="24"/>
          <w:szCs w:val="24"/>
        </w:rPr>
      </w:pPr>
      <w:bookmarkStart w:id="63" w:name="_Toc402855793"/>
      <w:bookmarkStart w:id="64" w:name="_Toc394241260"/>
      <w:bookmarkStart w:id="65" w:name="_Toc402426886"/>
      <w:r>
        <w:rPr>
          <w:rFonts w:hint="eastAsia" w:ascii="宋体" w:hAnsi="宋体" w:eastAsia="宋体"/>
          <w:b/>
          <w:bCs/>
          <w:sz w:val="24"/>
          <w:szCs w:val="24"/>
        </w:rPr>
        <w:t>8.评标结果</w:t>
      </w:r>
      <w:bookmarkEnd w:id="63"/>
      <w:bookmarkEnd w:id="64"/>
      <w:bookmarkEnd w:id="65"/>
    </w:p>
    <w:p>
      <w:pPr>
        <w:spacing w:line="440" w:lineRule="exact"/>
        <w:rPr>
          <w:rFonts w:hint="eastAsia" w:ascii="宋体" w:hAnsi="宋体" w:cs="宋体"/>
          <w:sz w:val="24"/>
          <w:szCs w:val="24"/>
        </w:rPr>
      </w:pPr>
      <w:r>
        <w:rPr>
          <w:rFonts w:hint="eastAsia" w:ascii="宋体" w:hAnsi="宋体" w:cs="宋体"/>
          <w:sz w:val="24"/>
          <w:szCs w:val="24"/>
        </w:rPr>
        <w:t>8.1 除第二章投标人须知前附表授权直接确定中标人外，评标委员会按照经评审的综合得分由高到低的顺序推荐中标候选人。</w:t>
      </w:r>
    </w:p>
    <w:p>
      <w:pPr>
        <w:spacing w:line="440" w:lineRule="exact"/>
        <w:rPr>
          <w:rFonts w:hint="eastAsia" w:ascii="宋体" w:hAnsi="宋体" w:cs="宋体"/>
          <w:sz w:val="24"/>
          <w:szCs w:val="24"/>
        </w:rPr>
      </w:pPr>
      <w:r>
        <w:rPr>
          <w:rFonts w:hint="eastAsia" w:ascii="宋体" w:hAnsi="宋体" w:cs="宋体"/>
          <w:sz w:val="24"/>
          <w:szCs w:val="24"/>
        </w:rPr>
        <w:t>8.2 评标委员会完成评标后，应当向招标人提交书面评标报告。</w:t>
      </w:r>
    </w:p>
    <w:p>
      <w:pPr>
        <w:spacing w:line="440" w:lineRule="exact"/>
        <w:rPr>
          <w:rFonts w:hint="eastAsia" w:ascii="宋体" w:hAnsi="宋体" w:cs="宋体"/>
          <w:sz w:val="24"/>
          <w:szCs w:val="24"/>
        </w:rPr>
      </w:pPr>
      <w:r>
        <w:rPr>
          <w:rFonts w:hint="eastAsia" w:ascii="宋体" w:hAnsi="宋体" w:cs="宋体"/>
          <w:sz w:val="24"/>
          <w:szCs w:val="24"/>
        </w:rPr>
        <w:t>8.3 评标委员会推荐的中标候选人应当限定在1～3名，并标明排列顺序。</w:t>
      </w:r>
    </w:p>
    <w:p>
      <w:pPr>
        <w:spacing w:line="440" w:lineRule="exact"/>
        <w:rPr>
          <w:rFonts w:hint="eastAsia" w:ascii="宋体" w:hAnsi="宋体" w:cs="宋体"/>
          <w:sz w:val="24"/>
          <w:szCs w:val="24"/>
        </w:rPr>
      </w:pPr>
      <w:r>
        <w:rPr>
          <w:rFonts w:hint="eastAsia" w:ascii="宋体" w:hAnsi="宋体" w:cs="宋体"/>
          <w:sz w:val="24"/>
          <w:szCs w:val="24"/>
        </w:rPr>
        <w:t>8.4依法必须进行招标的项目，招标人应当确定排名第一的中标候选人为中标人。排名第一的中标候选人放弃中标、因不可抗力提出不能履行合同，或者招标文件规定应当提交履约保证金而在规定的期限内未能提交的，招标人可以确定排名第二的中标候选人为中标人或重新招标。依次类推。</w:t>
      </w:r>
    </w:p>
    <w:p>
      <w:pPr>
        <w:numPr>
          <w:ilvl w:val="0"/>
          <w:numId w:val="8"/>
        </w:numPr>
        <w:spacing w:line="440" w:lineRule="exact"/>
        <w:rPr>
          <w:rFonts w:hint="eastAsia" w:ascii="宋体" w:hAnsi="宋体" w:cs="宋体"/>
          <w:b/>
          <w:bCs/>
          <w:sz w:val="24"/>
          <w:szCs w:val="24"/>
        </w:rPr>
      </w:pPr>
      <w:r>
        <w:rPr>
          <w:rFonts w:hint="eastAsia" w:ascii="宋体" w:hAnsi="宋体" w:cs="宋体"/>
          <w:b/>
          <w:bCs/>
          <w:sz w:val="24"/>
          <w:szCs w:val="24"/>
        </w:rPr>
        <w:t>其他</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投标人提供的与投标有关的各类证书、证明、文件、资料等的真实性、合法性由投标人负全责。</w:t>
      </w:r>
    </w:p>
    <w:p>
      <w:pPr>
        <w:numPr>
          <w:ilvl w:val="0"/>
          <w:numId w:val="8"/>
        </w:numPr>
        <w:spacing w:line="440" w:lineRule="exact"/>
        <w:rPr>
          <w:rFonts w:hint="eastAsia" w:ascii="宋体" w:hAnsi="宋体" w:cs="宋体"/>
          <w:b/>
          <w:bCs/>
          <w:sz w:val="24"/>
          <w:szCs w:val="24"/>
        </w:rPr>
      </w:pPr>
      <w:r>
        <w:rPr>
          <w:rFonts w:hint="eastAsia" w:ascii="宋体" w:hAnsi="宋体" w:cs="宋体"/>
          <w:b/>
          <w:bCs/>
          <w:sz w:val="24"/>
          <w:szCs w:val="24"/>
        </w:rPr>
        <w:t>适用范围</w:t>
      </w:r>
    </w:p>
    <w:p>
      <w:pPr>
        <w:spacing w:line="440" w:lineRule="exact"/>
        <w:ind w:firstLine="480" w:firstLineChars="200"/>
        <w:rPr>
          <w:rFonts w:hint="eastAsia" w:ascii="宋体" w:hAnsi="宋体" w:cs="宋体"/>
          <w:szCs w:val="21"/>
        </w:rPr>
      </w:pPr>
      <w:r>
        <w:rPr>
          <w:rFonts w:hint="eastAsia" w:ascii="宋体" w:hAnsi="宋体" w:cs="宋体"/>
          <w:sz w:val="24"/>
          <w:szCs w:val="24"/>
        </w:rPr>
        <w:t>适用于本项目。</w:t>
      </w:r>
    </w:p>
    <w:p>
      <w:pPr>
        <w:snapToGrid w:val="0"/>
        <w:spacing w:line="360" w:lineRule="auto"/>
        <w:jc w:val="center"/>
        <w:rPr>
          <w:rFonts w:hint="eastAsia" w:ascii="新宋体" w:hAnsi="新宋体" w:eastAsia="新宋体" w:cs="新宋体"/>
          <w:b/>
          <w:sz w:val="36"/>
          <w:szCs w:val="36"/>
        </w:rPr>
      </w:pPr>
    </w:p>
    <w:p>
      <w:pPr>
        <w:pStyle w:val="16"/>
        <w:rPr>
          <w:rFonts w:hint="eastAsia" w:ascii="新宋体" w:hAnsi="新宋体" w:eastAsia="新宋体" w:cs="新宋体"/>
          <w:b/>
          <w:sz w:val="36"/>
          <w:szCs w:val="36"/>
        </w:rPr>
      </w:pPr>
    </w:p>
    <w:p>
      <w:pPr>
        <w:pStyle w:val="16"/>
        <w:rPr>
          <w:rFonts w:hint="eastAsia" w:ascii="新宋体" w:hAnsi="新宋体" w:eastAsia="新宋体" w:cs="新宋体"/>
          <w:b/>
          <w:sz w:val="36"/>
          <w:szCs w:val="36"/>
        </w:rPr>
      </w:pPr>
    </w:p>
    <w:p>
      <w:pPr>
        <w:pStyle w:val="16"/>
        <w:rPr>
          <w:rFonts w:hint="eastAsia" w:ascii="新宋体" w:hAnsi="新宋体" w:eastAsia="新宋体" w:cs="新宋体"/>
          <w:b/>
          <w:sz w:val="36"/>
          <w:szCs w:val="36"/>
        </w:rPr>
      </w:pPr>
    </w:p>
    <w:p>
      <w:pPr>
        <w:pStyle w:val="16"/>
        <w:rPr>
          <w:rFonts w:hint="eastAsia" w:ascii="新宋体" w:hAnsi="新宋体" w:eastAsia="新宋体" w:cs="新宋体"/>
          <w:b/>
          <w:sz w:val="36"/>
          <w:szCs w:val="36"/>
        </w:rPr>
      </w:pPr>
    </w:p>
    <w:p>
      <w:pPr>
        <w:pStyle w:val="16"/>
        <w:rPr>
          <w:rFonts w:hint="eastAsia" w:ascii="新宋体" w:hAnsi="新宋体" w:eastAsia="新宋体" w:cs="新宋体"/>
          <w:b/>
          <w:sz w:val="28"/>
          <w:szCs w:val="28"/>
        </w:rPr>
      </w:pPr>
    </w:p>
    <w:p>
      <w:pPr>
        <w:spacing w:line="360" w:lineRule="auto"/>
        <w:rPr>
          <w:rFonts w:ascii="宋体" w:hAnsi="宋体" w:cs="宋体"/>
          <w:sz w:val="36"/>
          <w:szCs w:val="36"/>
        </w:rPr>
      </w:pPr>
    </w:p>
    <w:p>
      <w:pPr>
        <w:pStyle w:val="16"/>
        <w:ind w:firstLine="0" w:firstLineChars="0"/>
        <w:rPr>
          <w:rFonts w:hint="eastAsia" w:ascii="新宋体" w:hAnsi="新宋体" w:eastAsia="新宋体" w:cs="新宋体"/>
        </w:rPr>
      </w:pPr>
    </w:p>
    <w:p>
      <w:pPr>
        <w:numPr>
          <w:ilvl w:val="0"/>
          <w:numId w:val="0"/>
        </w:numPr>
        <w:spacing w:line="360" w:lineRule="auto"/>
        <w:ind w:firstLine="3534" w:firstLineChars="800"/>
        <w:jc w:val="both"/>
        <w:outlineLvl w:val="0"/>
        <w:rPr>
          <w:rStyle w:val="35"/>
          <w:rFonts w:hint="eastAsia" w:eastAsia="宋体"/>
          <w:sz w:val="44"/>
          <w:szCs w:val="44"/>
          <w:lang w:val="en-US" w:eastAsia="zh-CN"/>
        </w:rPr>
      </w:pPr>
      <w:r>
        <w:rPr>
          <w:rStyle w:val="35"/>
          <w:rFonts w:hint="eastAsia"/>
          <w:sz w:val="44"/>
          <w:szCs w:val="44"/>
          <w:lang w:eastAsia="zh-CN"/>
        </w:rPr>
        <w:t>第六章、</w:t>
      </w:r>
      <w:r>
        <w:rPr>
          <w:rStyle w:val="35"/>
          <w:sz w:val="44"/>
          <w:szCs w:val="44"/>
        </w:rPr>
        <w:t>投标文件</w:t>
      </w:r>
      <w:r>
        <w:rPr>
          <w:rStyle w:val="35"/>
          <w:rFonts w:hint="eastAsia" w:eastAsia="宋体"/>
          <w:sz w:val="44"/>
          <w:szCs w:val="44"/>
          <w:lang w:val="en-US" w:eastAsia="zh-CN"/>
        </w:rPr>
        <w:t xml:space="preserve"> </w:t>
      </w:r>
    </w:p>
    <w:p>
      <w:pPr>
        <w:numPr>
          <w:ilvl w:val="0"/>
          <w:numId w:val="0"/>
        </w:numPr>
        <w:spacing w:line="360" w:lineRule="auto"/>
        <w:jc w:val="right"/>
        <w:outlineLvl w:val="0"/>
        <w:rPr>
          <w:rStyle w:val="35"/>
          <w:rFonts w:hint="default" w:eastAsia="宋体"/>
          <w:lang w:val="en-US" w:eastAsia="zh-CN"/>
        </w:rPr>
      </w:pPr>
      <w:r>
        <w:rPr>
          <w:rStyle w:val="35"/>
          <w:rFonts w:hint="eastAsia" w:eastAsia="宋体"/>
          <w:sz w:val="44"/>
          <w:szCs w:val="44"/>
          <w:lang w:val="en-US" w:eastAsia="zh-CN"/>
        </w:rPr>
        <w:t xml:space="preserve"> </w:t>
      </w:r>
      <w:r>
        <w:rPr>
          <w:rStyle w:val="35"/>
          <w:rFonts w:hint="eastAsia" w:eastAsia="宋体"/>
          <w:sz w:val="36"/>
          <w:szCs w:val="36"/>
          <w:lang w:val="en-US" w:eastAsia="zh-CN"/>
        </w:rPr>
        <w:t xml:space="preserve">正本/副本 </w:t>
      </w:r>
      <w:r>
        <w:rPr>
          <w:rStyle w:val="35"/>
          <w:rFonts w:hint="eastAsia" w:eastAsia="宋体"/>
          <w:sz w:val="44"/>
          <w:szCs w:val="44"/>
          <w:lang w:val="en-US" w:eastAsia="zh-CN"/>
        </w:rPr>
        <w:t xml:space="preserve"> </w:t>
      </w:r>
    </w:p>
    <w:p>
      <w:pPr>
        <w:spacing w:line="360" w:lineRule="auto"/>
        <w:rPr>
          <w:rFonts w:ascii="宋体" w:hAnsi="宋体" w:cs="宋体"/>
          <w:b/>
          <w:sz w:val="28"/>
          <w:szCs w:val="28"/>
        </w:rPr>
      </w:pPr>
      <w:r>
        <w:rPr>
          <w:rFonts w:ascii="宋体" w:hAnsi="宋体" w:cs="宋体"/>
          <w:b/>
          <w:sz w:val="28"/>
          <w:szCs w:val="28"/>
        </w:rPr>
        <w:t xml:space="preserve">                </w:t>
      </w:r>
    </w:p>
    <w:p>
      <w:pPr>
        <w:jc w:val="center"/>
        <w:rPr>
          <w:rFonts w:ascii="宋体" w:hAnsi="宋体" w:cs="宋体"/>
          <w:sz w:val="32"/>
        </w:rPr>
      </w:pPr>
      <w:r>
        <w:rPr>
          <w:rFonts w:ascii="宋体" w:hAnsi="宋体" w:cs="宋体"/>
          <w:b/>
          <w:sz w:val="28"/>
          <w:szCs w:val="28"/>
        </w:rPr>
        <w:t xml:space="preserve"> </w:t>
      </w:r>
      <w:bookmarkStart w:id="66" w:name="_Toc26133_WPSOffice_Level1"/>
      <w:bookmarkStart w:id="67" w:name="_Hlk450146465"/>
      <w:r>
        <w:rPr>
          <w:rFonts w:ascii="宋体" w:hAnsi="宋体" w:cs="宋体"/>
          <w:sz w:val="44"/>
          <w:szCs w:val="44"/>
          <w:u w:val="single"/>
        </w:rPr>
        <w:t>（服务采购项目名称）</w:t>
      </w:r>
      <w:bookmarkEnd w:id="66"/>
    </w:p>
    <w:p>
      <w:pPr>
        <w:jc w:val="center"/>
        <w:rPr>
          <w:rFonts w:ascii="宋体" w:hAnsi="宋体" w:cs="宋体"/>
          <w:b/>
          <w:sz w:val="72"/>
        </w:rPr>
      </w:pPr>
      <w:bookmarkStart w:id="68" w:name="_Toc28049_WPSOffice_Level1"/>
    </w:p>
    <w:p>
      <w:pPr>
        <w:jc w:val="center"/>
        <w:rPr>
          <w:rFonts w:ascii="宋体" w:hAnsi="宋体" w:cs="宋体"/>
          <w:sz w:val="32"/>
        </w:rPr>
      </w:pPr>
      <w:r>
        <w:rPr>
          <w:rFonts w:ascii="宋体" w:hAnsi="宋体" w:cs="宋体"/>
          <w:b/>
          <w:sz w:val="72"/>
        </w:rPr>
        <w:t>投    标   文   件</w:t>
      </w:r>
      <w:bookmarkEnd w:id="68"/>
    </w:p>
    <w:p>
      <w:pPr>
        <w:rPr>
          <w:rFonts w:ascii="宋体" w:hAnsi="宋体" w:cs="宋体"/>
          <w:sz w:val="32"/>
        </w:rPr>
      </w:pPr>
      <w:r>
        <w:rPr>
          <w:rFonts w:ascii="宋体" w:hAnsi="宋体" w:cs="宋体"/>
          <w:sz w:val="32"/>
        </w:rPr>
        <w:t xml:space="preserve">               </w:t>
      </w:r>
      <w:bookmarkStart w:id="69" w:name="_Toc7255_WPSOffice_Level1"/>
    </w:p>
    <w:p>
      <w:pPr>
        <w:jc w:val="center"/>
        <w:rPr>
          <w:rFonts w:ascii="宋体" w:hAnsi="宋体" w:cs="宋体"/>
          <w:sz w:val="32"/>
        </w:rPr>
      </w:pPr>
      <w:r>
        <w:rPr>
          <w:rFonts w:ascii="宋体" w:hAnsi="宋体" w:cs="宋体"/>
          <w:sz w:val="32"/>
        </w:rPr>
        <w:t>项目编号：</w:t>
      </w:r>
      <w:bookmarkEnd w:id="69"/>
    </w:p>
    <w:p>
      <w:pPr>
        <w:jc w:val="center"/>
        <w:rPr>
          <w:rFonts w:ascii="宋体" w:hAnsi="宋体" w:cs="宋体"/>
          <w:sz w:val="32"/>
        </w:rPr>
      </w:pPr>
    </w:p>
    <w:p>
      <w:pPr>
        <w:jc w:val="both"/>
        <w:rPr>
          <w:rFonts w:ascii="宋体" w:hAnsi="宋体" w:cs="宋体"/>
          <w:sz w:val="32"/>
        </w:rPr>
      </w:pPr>
    </w:p>
    <w:p>
      <w:pPr>
        <w:jc w:val="center"/>
        <w:rPr>
          <w:rFonts w:ascii="宋体" w:hAnsi="宋体" w:cs="宋体"/>
          <w:sz w:val="32"/>
        </w:rPr>
      </w:pPr>
    </w:p>
    <w:p>
      <w:pPr>
        <w:jc w:val="center"/>
        <w:rPr>
          <w:rFonts w:ascii="宋体" w:hAnsi="宋体" w:cs="宋体"/>
          <w:sz w:val="32"/>
        </w:rPr>
      </w:pPr>
    </w:p>
    <w:p>
      <w:pPr>
        <w:jc w:val="center"/>
        <w:rPr>
          <w:rFonts w:ascii="宋体" w:hAnsi="宋体" w:cs="宋体"/>
          <w:sz w:val="32"/>
        </w:rPr>
      </w:pPr>
    </w:p>
    <w:p>
      <w:pPr>
        <w:ind w:firstLine="1320" w:firstLineChars="550"/>
        <w:rPr>
          <w:rFonts w:ascii="宋体" w:hAnsi="宋体" w:cs="宋体"/>
          <w:sz w:val="24"/>
          <w:u w:val="single"/>
        </w:rPr>
      </w:pPr>
      <w:r>
        <w:rPr>
          <w:rFonts w:hint="eastAsia" w:ascii="宋体" w:hAnsi="宋体" w:cs="宋体"/>
          <w:sz w:val="24"/>
          <w:lang w:eastAsia="zh-CN"/>
        </w:rPr>
        <w:t>招标</w:t>
      </w:r>
      <w:r>
        <w:rPr>
          <w:rFonts w:ascii="宋体" w:hAnsi="宋体" w:cs="宋体"/>
          <w:sz w:val="24"/>
        </w:rPr>
        <w:t>人：</w:t>
      </w:r>
      <w:r>
        <w:rPr>
          <w:rFonts w:ascii="宋体" w:hAnsi="宋体" w:cs="宋体"/>
          <w:sz w:val="24"/>
          <w:u w:val="single"/>
        </w:rPr>
        <w:t xml:space="preserve">                      </w:t>
      </w:r>
    </w:p>
    <w:p>
      <w:pPr>
        <w:ind w:firstLine="1760" w:firstLineChars="550"/>
        <w:rPr>
          <w:rFonts w:ascii="宋体" w:hAnsi="宋体" w:cs="宋体"/>
          <w:sz w:val="32"/>
        </w:rPr>
      </w:pPr>
    </w:p>
    <w:p>
      <w:pPr>
        <w:spacing w:line="460" w:lineRule="exact"/>
        <w:ind w:firstLine="1320" w:firstLineChars="550"/>
        <w:rPr>
          <w:rFonts w:ascii="宋体" w:hAnsi="宋体" w:cs="宋体"/>
          <w:sz w:val="24"/>
        </w:rPr>
      </w:pPr>
      <w:r>
        <w:rPr>
          <w:rFonts w:ascii="宋体" w:hAnsi="宋体" w:cs="宋体"/>
          <w:sz w:val="24"/>
        </w:rPr>
        <w:t>投标人：</w:t>
      </w:r>
      <w:r>
        <w:rPr>
          <w:rFonts w:ascii="宋体" w:hAnsi="宋体" w:cs="宋体"/>
          <w:sz w:val="24"/>
          <w:u w:val="single"/>
        </w:rPr>
        <w:t xml:space="preserve">                             </w:t>
      </w:r>
      <w:r>
        <w:rPr>
          <w:rFonts w:ascii="宋体" w:hAnsi="宋体" w:cs="宋体"/>
          <w:sz w:val="24"/>
        </w:rPr>
        <w:t>（盖单位章）</w:t>
      </w:r>
    </w:p>
    <w:p>
      <w:pPr>
        <w:spacing w:line="460" w:lineRule="exact"/>
        <w:ind w:firstLine="732" w:firstLineChars="305"/>
        <w:rPr>
          <w:rFonts w:ascii="宋体" w:hAnsi="宋体" w:cs="宋体"/>
          <w:sz w:val="24"/>
          <w:u w:val="single"/>
        </w:rPr>
      </w:pPr>
    </w:p>
    <w:p>
      <w:pPr>
        <w:spacing w:line="460" w:lineRule="exact"/>
        <w:ind w:firstLine="732" w:firstLineChars="305"/>
        <w:rPr>
          <w:rFonts w:ascii="宋体" w:hAnsi="宋体" w:cs="宋体"/>
          <w:sz w:val="24"/>
          <w:u w:val="single"/>
        </w:rPr>
      </w:pPr>
      <w:r>
        <w:rPr>
          <w:rFonts w:ascii="宋体" w:hAnsi="宋体" w:cs="宋体"/>
          <w:sz w:val="24"/>
        </w:rPr>
        <w:t xml:space="preserve">     法定代表人或其委托代理人：</w:t>
      </w:r>
      <w:r>
        <w:rPr>
          <w:rFonts w:ascii="宋体" w:hAnsi="宋体" w:cs="宋体"/>
          <w:sz w:val="24"/>
          <w:u w:val="single"/>
        </w:rPr>
        <w:t xml:space="preserve">              </w:t>
      </w:r>
      <w:r>
        <w:rPr>
          <w:rFonts w:ascii="宋体" w:hAnsi="宋体" w:cs="宋体"/>
          <w:sz w:val="24"/>
        </w:rPr>
        <w:t>（签字或盖章）</w:t>
      </w:r>
    </w:p>
    <w:p>
      <w:pPr>
        <w:spacing w:line="460" w:lineRule="exact"/>
        <w:rPr>
          <w:rFonts w:ascii="宋体" w:hAnsi="宋体" w:cs="宋体"/>
          <w:sz w:val="24"/>
        </w:rPr>
      </w:pPr>
    </w:p>
    <w:p>
      <w:pPr>
        <w:spacing w:line="460" w:lineRule="exact"/>
        <w:ind w:firstLine="435"/>
        <w:rPr>
          <w:rFonts w:ascii="宋体" w:hAnsi="宋体" w:cs="宋体"/>
          <w:sz w:val="24"/>
        </w:rPr>
      </w:pPr>
    </w:p>
    <w:p>
      <w:pPr>
        <w:spacing w:line="460" w:lineRule="exact"/>
        <w:ind w:firstLine="435"/>
        <w:jc w:val="center"/>
        <w:rPr>
          <w:rFonts w:ascii="宋体" w:hAnsi="宋体" w:cs="宋体"/>
          <w:sz w:val="24"/>
        </w:rPr>
      </w:pPr>
      <w:bookmarkStart w:id="70" w:name="_Toc21701_WPSOffice_Level1"/>
      <w:r>
        <w:rPr>
          <w:rFonts w:hint="eastAsia" w:ascii="宋体" w:hAnsi="宋体" w:cs="宋体"/>
          <w:i w:val="0"/>
          <w:iCs w:val="0"/>
          <w:sz w:val="24"/>
          <w:u w:val="single"/>
          <w:lang w:val="en-US" w:eastAsia="zh-CN"/>
        </w:rPr>
        <w:t xml:space="preserve">      </w:t>
      </w:r>
      <w:r>
        <w:rPr>
          <w:rFonts w:ascii="宋体" w:hAnsi="宋体" w:cs="宋体"/>
          <w:sz w:val="24"/>
        </w:rPr>
        <w:t>年</w:t>
      </w:r>
      <w:r>
        <w:rPr>
          <w:rFonts w:ascii="宋体" w:hAnsi="宋体" w:cs="宋体"/>
          <w:sz w:val="24"/>
          <w:u w:val="single"/>
        </w:rPr>
        <w:t xml:space="preserve">    </w:t>
      </w:r>
      <w:r>
        <w:rPr>
          <w:rFonts w:ascii="宋体" w:hAnsi="宋体" w:cs="宋体"/>
          <w:sz w:val="24"/>
        </w:rPr>
        <w:t>月</w:t>
      </w:r>
      <w:r>
        <w:rPr>
          <w:rFonts w:ascii="宋体" w:hAnsi="宋体" w:cs="宋体"/>
          <w:sz w:val="24"/>
          <w:u w:val="single"/>
        </w:rPr>
        <w:t xml:space="preserve">     </w:t>
      </w:r>
      <w:r>
        <w:rPr>
          <w:rFonts w:ascii="宋体" w:hAnsi="宋体" w:cs="宋体"/>
          <w:sz w:val="24"/>
        </w:rPr>
        <w:t>日</w:t>
      </w:r>
      <w:bookmarkEnd w:id="70"/>
    </w:p>
    <w:p>
      <w:pPr>
        <w:autoSpaceDE w:val="0"/>
        <w:autoSpaceDN w:val="0"/>
        <w:adjustRightInd w:val="0"/>
        <w:jc w:val="center"/>
        <w:outlineLvl w:val="1"/>
        <w:rPr>
          <w:rFonts w:hint="eastAsia" w:ascii="仿宋_GB2312" w:eastAsia="仿宋_GB2312" w:cs="仿宋_GB2312"/>
          <w:b/>
          <w:kern w:val="0"/>
          <w:sz w:val="30"/>
          <w:szCs w:val="30"/>
        </w:rPr>
      </w:pPr>
      <w:r>
        <w:rPr>
          <w:rFonts w:ascii="宋体" w:hAnsi="宋体" w:cs="宋体"/>
          <w:b/>
          <w:bCs/>
          <w:szCs w:val="28"/>
        </w:rPr>
        <w:br w:type="page"/>
      </w:r>
      <w:bookmarkStart w:id="71" w:name="_Toc12591"/>
    </w:p>
    <w:bookmarkEnd w:id="71"/>
    <w:p>
      <w:pPr>
        <w:pStyle w:val="3"/>
        <w:numPr>
          <w:ilvl w:val="0"/>
          <w:numId w:val="0"/>
        </w:numPr>
        <w:tabs>
          <w:tab w:val="left" w:pos="1155"/>
        </w:tabs>
        <w:spacing w:after="166" w:afterLines="50" w:line="440" w:lineRule="exact"/>
        <w:jc w:val="center"/>
        <w:rPr>
          <w:rFonts w:hint="eastAsia" w:ascii="宋体" w:hAnsi="宋体" w:eastAsia="宋体" w:cs="宋体"/>
          <w:b/>
          <w:bCs/>
          <w:sz w:val="32"/>
          <w:szCs w:val="32"/>
        </w:rPr>
      </w:pPr>
      <w:bookmarkStart w:id="72" w:name="_Toc20607"/>
      <w:bookmarkStart w:id="73" w:name="_Toc487790677"/>
      <w:r>
        <w:rPr>
          <w:rFonts w:hint="eastAsia" w:ascii="宋体" w:hAnsi="宋体" w:eastAsia="宋体" w:cs="宋体"/>
          <w:b/>
          <w:bCs/>
          <w:sz w:val="32"/>
          <w:szCs w:val="32"/>
        </w:rPr>
        <w:t>一、投标函</w:t>
      </w:r>
      <w:bookmarkEnd w:id="72"/>
    </w:p>
    <w:p>
      <w:pPr>
        <w:spacing w:line="440" w:lineRule="exact"/>
        <w:rPr>
          <w:rFonts w:hint="eastAsia"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（招标人名称）：</w:t>
      </w:r>
    </w:p>
    <w:p>
      <w:pPr>
        <w:spacing w:line="440" w:lineRule="exact"/>
        <w:rPr>
          <w:rFonts w:hint="eastAsia" w:ascii="宋体" w:hAnsi="宋体" w:cs="宋体"/>
          <w:sz w:val="24"/>
          <w:szCs w:val="24"/>
        </w:rPr>
      </w:pPr>
    </w:p>
    <w:p>
      <w:pPr>
        <w:spacing w:line="440" w:lineRule="exact"/>
        <w:ind w:firstLine="480" w:firstLineChars="200"/>
        <w:rPr>
          <w:rFonts w:hint="eastAsia" w:ascii="宋体" w:hAnsi="宋体" w:cs="宋体"/>
          <w:sz w:val="24"/>
          <w:szCs w:val="24"/>
        </w:rPr>
      </w:pPr>
      <w:r>
        <w:rPr>
          <w:rFonts w:hint="eastAsia" w:ascii="宋体" w:hAnsi="宋体" w:cs="宋体"/>
          <w:sz w:val="24"/>
          <w:szCs w:val="24"/>
        </w:rPr>
        <w:t>1.我方已仔细研究了</w:t>
      </w:r>
      <w:r>
        <w:rPr>
          <w:rFonts w:hint="eastAsia" w:ascii="宋体" w:hAnsi="宋体" w:cs="宋体"/>
          <w:sz w:val="24"/>
          <w:szCs w:val="24"/>
          <w:u w:val="single"/>
        </w:rPr>
        <w:t xml:space="preserve">              </w:t>
      </w:r>
      <w:r>
        <w:rPr>
          <w:rFonts w:hint="eastAsia" w:ascii="宋体" w:hAnsi="宋体" w:cs="宋体"/>
          <w:sz w:val="24"/>
          <w:szCs w:val="24"/>
        </w:rPr>
        <w:t>（项目名称）招标文件的全部内容（含本项目答疑及补充通知），在充分了解和认真考虑后，</w:t>
      </w:r>
      <w:r>
        <w:rPr>
          <w:rFonts w:hint="eastAsia" w:ascii="宋体" w:hAnsi="宋体" w:cs="宋体"/>
          <w:snapToGrid w:val="0"/>
          <w:sz w:val="24"/>
          <w:szCs w:val="24"/>
        </w:rPr>
        <w:t>我方愿以投标价</w:t>
      </w:r>
      <w:r>
        <w:rPr>
          <w:rFonts w:hint="eastAsia" w:ascii="宋体" w:hAnsi="宋体" w:cs="宋体"/>
          <w:sz w:val="24"/>
          <w:szCs w:val="24"/>
        </w:rPr>
        <w:t>人民币（大写）</w:t>
      </w:r>
      <w:r>
        <w:rPr>
          <w:rFonts w:hint="eastAsia" w:ascii="宋体" w:hAnsi="宋体" w:cs="宋体"/>
          <w:sz w:val="24"/>
          <w:szCs w:val="24"/>
          <w:u w:val="single"/>
        </w:rPr>
        <w:t xml:space="preserve">       </w:t>
      </w:r>
      <w:r>
        <w:rPr>
          <w:rFonts w:hint="eastAsia" w:ascii="宋体" w:hAnsi="宋体" w:cs="宋体"/>
          <w:sz w:val="24"/>
          <w:szCs w:val="24"/>
        </w:rPr>
        <w:t>元/年（小写）￥</w:t>
      </w:r>
      <w:r>
        <w:rPr>
          <w:rFonts w:hint="eastAsia" w:ascii="宋体" w:hAnsi="宋体" w:cs="宋体"/>
          <w:sz w:val="24"/>
          <w:szCs w:val="24"/>
          <w:u w:val="single"/>
        </w:rPr>
        <w:t xml:space="preserve">       </w:t>
      </w:r>
      <w:r>
        <w:rPr>
          <w:rFonts w:hint="eastAsia" w:ascii="宋体" w:hAnsi="宋体" w:cs="宋体"/>
          <w:sz w:val="24"/>
          <w:szCs w:val="24"/>
        </w:rPr>
        <w:t>元/年总报价提供招标文件要求的各项物业服务。</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2.如我方中标：</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（1）我方承诺在收到中标通知书后，在中标通知书规定的期限内与你方签订合同。</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（2）随同本投标函递交的投标函附录属于合同文件的组成部分。</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（3）我方承诺按照招标文件规定向你方递交履约担保。</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4）我方承诺承担提供招标文件要求的各项物业服务所需的一切人员配备、器材、管理费用、税费、完成合同所需的一切本身和不可或缺的所有工作开支、政策性文件规定及合同包含的所有风险、责任等全部费用并承担一切风险责任。</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3.我方在此声明，所递交的投标文件及有关资料内容完整、真实和准确。</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4.在合同协议书正式签署生效之前，本投标函连同你方的中标通知书将构成我们双方之间共同遵守的文件，对双方具有约束力。</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5.</w:t>
      </w:r>
      <w:r>
        <w:rPr>
          <w:rFonts w:hint="eastAsia" w:ascii="宋体" w:hAnsi="宋体" w:cs="宋体"/>
          <w:sz w:val="24"/>
          <w:szCs w:val="24"/>
          <w:u w:val="single"/>
        </w:rPr>
        <w:t xml:space="preserve">                              </w:t>
      </w:r>
      <w:r>
        <w:rPr>
          <w:rFonts w:hint="eastAsia" w:ascii="宋体" w:hAnsi="宋体" w:cs="宋体"/>
          <w:sz w:val="24"/>
          <w:szCs w:val="24"/>
        </w:rPr>
        <w:t>（其他补充说明）。</w:t>
      </w:r>
    </w:p>
    <w:p>
      <w:pPr>
        <w:pStyle w:val="16"/>
        <w:ind w:firstLine="560"/>
        <w:rPr>
          <w:rFonts w:hint="eastAsia"/>
        </w:rPr>
      </w:pPr>
    </w:p>
    <w:p>
      <w:pPr>
        <w:tabs>
          <w:tab w:val="left" w:pos="2977"/>
          <w:tab w:val="left" w:pos="3261"/>
        </w:tabs>
        <w:spacing w:line="440" w:lineRule="exact"/>
        <w:rPr>
          <w:rFonts w:hint="eastAsia" w:ascii="宋体" w:hAnsi="宋体" w:cs="宋体"/>
          <w:sz w:val="24"/>
          <w:szCs w:val="24"/>
        </w:rPr>
      </w:pPr>
      <w:r>
        <w:rPr>
          <w:rFonts w:hint="eastAsia" w:ascii="宋体" w:hAnsi="宋体" w:cs="宋体"/>
          <w:sz w:val="24"/>
          <w:szCs w:val="24"/>
        </w:rPr>
        <w:t xml:space="preserve">                          投 标 人：</w:t>
      </w:r>
      <w:r>
        <w:rPr>
          <w:rFonts w:hint="eastAsia" w:ascii="宋体" w:hAnsi="宋体" w:cs="宋体"/>
          <w:sz w:val="24"/>
          <w:szCs w:val="24"/>
          <w:u w:val="single"/>
        </w:rPr>
        <w:t xml:space="preserve">                       </w:t>
      </w:r>
      <w:r>
        <w:rPr>
          <w:rFonts w:hint="eastAsia" w:ascii="宋体" w:hAnsi="宋体" w:cs="宋体"/>
          <w:sz w:val="24"/>
          <w:szCs w:val="24"/>
        </w:rPr>
        <w:t>（盖单位章）</w:t>
      </w:r>
    </w:p>
    <w:p>
      <w:pPr>
        <w:spacing w:line="440" w:lineRule="exact"/>
        <w:rPr>
          <w:rFonts w:hint="eastAsia" w:ascii="宋体" w:hAnsi="宋体" w:cs="宋体"/>
          <w:sz w:val="24"/>
          <w:szCs w:val="24"/>
        </w:rPr>
      </w:pPr>
      <w:r>
        <w:rPr>
          <w:rFonts w:hint="eastAsia" w:ascii="宋体" w:hAnsi="宋体" w:cs="宋体"/>
          <w:sz w:val="24"/>
          <w:szCs w:val="24"/>
        </w:rPr>
        <w:t xml:space="preserve">                          法定代表人或其委托代理人：</w:t>
      </w:r>
      <w:r>
        <w:rPr>
          <w:rFonts w:hint="eastAsia" w:ascii="宋体" w:hAnsi="宋体" w:cs="宋体"/>
          <w:sz w:val="24"/>
          <w:szCs w:val="24"/>
          <w:u w:val="single"/>
        </w:rPr>
        <w:t xml:space="preserve">           </w:t>
      </w:r>
      <w:r>
        <w:rPr>
          <w:rFonts w:hint="eastAsia" w:ascii="宋体" w:hAnsi="宋体" w:cs="宋体"/>
          <w:sz w:val="24"/>
          <w:szCs w:val="24"/>
        </w:rPr>
        <w:t>（签字或盖章）</w:t>
      </w:r>
    </w:p>
    <w:p>
      <w:pPr>
        <w:spacing w:line="440" w:lineRule="exact"/>
        <w:rPr>
          <w:rFonts w:hint="eastAsia" w:ascii="宋体" w:hAnsi="宋体" w:cs="宋体"/>
          <w:sz w:val="24"/>
          <w:szCs w:val="24"/>
        </w:rPr>
      </w:pPr>
      <w:r>
        <w:rPr>
          <w:rFonts w:hint="eastAsia" w:ascii="宋体" w:hAnsi="宋体" w:cs="宋体"/>
          <w:sz w:val="24"/>
          <w:szCs w:val="24"/>
        </w:rPr>
        <w:t xml:space="preserve">                          地址：</w:t>
      </w:r>
      <w:r>
        <w:rPr>
          <w:rFonts w:hint="eastAsia" w:ascii="宋体" w:hAnsi="宋体" w:cs="宋体"/>
          <w:sz w:val="24"/>
          <w:szCs w:val="24"/>
          <w:u w:val="single"/>
        </w:rPr>
        <w:t xml:space="preserve">                                      </w:t>
      </w:r>
    </w:p>
    <w:p>
      <w:pPr>
        <w:spacing w:line="440" w:lineRule="exact"/>
        <w:rPr>
          <w:rFonts w:hint="eastAsia" w:ascii="宋体" w:hAnsi="宋体" w:cs="宋体"/>
          <w:sz w:val="24"/>
          <w:szCs w:val="24"/>
        </w:rPr>
      </w:pPr>
      <w:r>
        <w:rPr>
          <w:rFonts w:hint="eastAsia" w:ascii="宋体" w:hAnsi="宋体" w:cs="宋体"/>
          <w:sz w:val="24"/>
          <w:szCs w:val="24"/>
        </w:rPr>
        <w:t xml:space="preserve">                          电话：</w:t>
      </w:r>
      <w:r>
        <w:rPr>
          <w:rFonts w:hint="eastAsia" w:ascii="宋体" w:hAnsi="宋体" w:cs="宋体"/>
          <w:sz w:val="24"/>
          <w:szCs w:val="24"/>
          <w:u w:val="single"/>
        </w:rPr>
        <w:t xml:space="preserve">                                      </w:t>
      </w:r>
    </w:p>
    <w:p>
      <w:pPr>
        <w:spacing w:line="440" w:lineRule="exact"/>
        <w:rPr>
          <w:rFonts w:hint="eastAsia" w:ascii="宋体" w:hAnsi="宋体" w:cs="宋体"/>
          <w:sz w:val="24"/>
          <w:szCs w:val="24"/>
        </w:rPr>
      </w:pPr>
      <w:r>
        <w:rPr>
          <w:rFonts w:hint="eastAsia" w:ascii="宋体" w:hAnsi="宋体" w:cs="宋体"/>
          <w:sz w:val="24"/>
          <w:szCs w:val="24"/>
        </w:rPr>
        <w:t xml:space="preserve">                      </w:t>
      </w:r>
      <w:r>
        <w:rPr>
          <w:rFonts w:hint="eastAsia" w:ascii="宋体" w:hAnsi="宋体" w:cs="宋体"/>
          <w:sz w:val="24"/>
          <w:szCs w:val="24"/>
          <w:u w:val="single"/>
        </w:rPr>
        <w:t xml:space="preserve">                                    </w:t>
      </w:r>
    </w:p>
    <w:p>
      <w:pPr>
        <w:spacing w:line="440" w:lineRule="exact"/>
        <w:rPr>
          <w:rFonts w:hint="eastAsia" w:ascii="宋体" w:hAnsi="宋体" w:cs="宋体"/>
          <w:sz w:val="24"/>
          <w:szCs w:val="24"/>
        </w:rPr>
      </w:pPr>
      <w:r>
        <w:rPr>
          <w:rFonts w:hint="eastAsia" w:ascii="宋体" w:hAnsi="宋体" w:cs="宋体"/>
          <w:sz w:val="24"/>
          <w:szCs w:val="24"/>
        </w:rPr>
        <w:t xml:space="preserve">                                                                            </w:t>
      </w:r>
    </w:p>
    <w:p>
      <w:pPr>
        <w:spacing w:line="440" w:lineRule="exact"/>
        <w:jc w:val="right"/>
        <w:rPr>
          <w:rFonts w:hint="eastAsia"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spacing w:line="440" w:lineRule="exact"/>
        <w:ind w:firstLine="4944" w:firstLineChars="2060"/>
        <w:jc w:val="right"/>
        <w:rPr>
          <w:rFonts w:hint="eastAsia" w:ascii="宋体" w:hAnsi="宋体" w:eastAsia="宋体" w:cs="宋体"/>
          <w:color w:val="000000"/>
          <w:sz w:val="24"/>
          <w:szCs w:val="24"/>
        </w:rPr>
      </w:pPr>
    </w:p>
    <w:p>
      <w:pPr>
        <w:pStyle w:val="16"/>
        <w:rPr>
          <w:rFonts w:hint="eastAsia"/>
          <w:sz w:val="24"/>
          <w:szCs w:val="24"/>
        </w:rPr>
      </w:pPr>
    </w:p>
    <w:p>
      <w:pPr>
        <w:autoSpaceDE w:val="0"/>
        <w:autoSpaceDN w:val="0"/>
        <w:adjustRightInd w:val="0"/>
        <w:jc w:val="center"/>
        <w:outlineLvl w:val="1"/>
        <w:rPr>
          <w:rFonts w:hint="eastAsia" w:ascii="宋体" w:cs="宋体"/>
          <w:color w:val="000000"/>
          <w:u w:val="single"/>
        </w:rPr>
      </w:pPr>
    </w:p>
    <w:p>
      <w:pPr>
        <w:autoSpaceDE w:val="0"/>
        <w:autoSpaceDN w:val="0"/>
        <w:adjustRightInd w:val="0"/>
        <w:jc w:val="center"/>
        <w:outlineLvl w:val="1"/>
        <w:rPr>
          <w:rFonts w:hint="eastAsia" w:ascii="仿宋_GB2312" w:eastAsia="仿宋_GB2312" w:cs="仿宋_GB2312"/>
          <w:b/>
          <w:kern w:val="0"/>
          <w:sz w:val="30"/>
          <w:szCs w:val="30"/>
        </w:rPr>
      </w:pPr>
    </w:p>
    <w:p>
      <w:pPr>
        <w:pStyle w:val="16"/>
        <w:rPr>
          <w:rFonts w:hint="eastAsia"/>
        </w:rPr>
      </w:pPr>
    </w:p>
    <w:p>
      <w:pPr>
        <w:pStyle w:val="16"/>
        <w:rPr>
          <w:rFonts w:hint="eastAsia"/>
        </w:rPr>
      </w:pPr>
    </w:p>
    <w:p>
      <w:pPr>
        <w:pStyle w:val="16"/>
        <w:rPr>
          <w:rFonts w:hint="eastAsia"/>
        </w:rPr>
      </w:pPr>
    </w:p>
    <w:p>
      <w:pPr>
        <w:pStyle w:val="16"/>
        <w:rPr>
          <w:rFonts w:hint="eastAsia"/>
        </w:rPr>
      </w:pPr>
    </w:p>
    <w:bookmarkEnd w:id="73"/>
    <w:p>
      <w:pPr>
        <w:jc w:val="center"/>
        <w:rPr>
          <w:rFonts w:hint="eastAsia" w:ascii="仿宋_GB2312" w:hAnsi="Times New Roman" w:eastAsia="仿宋_GB2312" w:cs="仿宋_GB2312"/>
          <w:b/>
          <w:kern w:val="0"/>
          <w:sz w:val="30"/>
          <w:szCs w:val="30"/>
          <w:lang w:val="en-US" w:eastAsia="zh-CN" w:bidi="ar-SA"/>
        </w:rPr>
      </w:pPr>
      <w:r>
        <w:rPr>
          <w:rFonts w:hint="eastAsia" w:ascii="仿宋_GB2312" w:eastAsia="仿宋_GB2312" w:cs="仿宋_GB2312"/>
          <w:b/>
          <w:kern w:val="0"/>
          <w:sz w:val="30"/>
          <w:szCs w:val="30"/>
          <w:lang w:val="en-US" w:eastAsia="zh-CN" w:bidi="ar-SA"/>
        </w:rPr>
        <w:t>二、</w:t>
      </w:r>
      <w:r>
        <w:rPr>
          <w:rFonts w:hint="eastAsia" w:ascii="仿宋_GB2312" w:hAnsi="Times New Roman" w:eastAsia="仿宋_GB2312" w:cs="仿宋_GB2312"/>
          <w:b/>
          <w:kern w:val="0"/>
          <w:sz w:val="30"/>
          <w:szCs w:val="30"/>
          <w:lang w:val="en-US" w:eastAsia="zh-CN" w:bidi="ar-SA"/>
        </w:rPr>
        <w:t>资格证明文件</w:t>
      </w:r>
    </w:p>
    <w:p>
      <w:pPr>
        <w:spacing w:line="420" w:lineRule="exact"/>
        <w:jc w:val="center"/>
        <w:outlineLvl w:val="1"/>
        <w:rPr>
          <w:rFonts w:hint="eastAsia" w:ascii="宋体" w:hAnsi="宋体" w:cs="宋体"/>
          <w:b/>
          <w:bCs/>
          <w:sz w:val="28"/>
          <w:szCs w:val="28"/>
        </w:rPr>
      </w:pPr>
      <w:r>
        <w:rPr>
          <w:rFonts w:hint="eastAsia" w:ascii="宋体" w:hAnsi="宋体" w:cs="黑体"/>
          <w:b/>
          <w:bCs/>
          <w:sz w:val="28"/>
          <w:szCs w:val="28"/>
        </w:rPr>
        <w:t>法定代表人授权书</w:t>
      </w:r>
    </w:p>
    <w:p>
      <w:pPr>
        <w:pStyle w:val="16"/>
        <w:ind w:firstLine="560"/>
        <w:rPr>
          <w:rFonts w:hint="eastAsia"/>
        </w:rPr>
      </w:pPr>
    </w:p>
    <w:p>
      <w:pPr>
        <w:spacing w:line="360" w:lineRule="auto"/>
        <w:ind w:firstLine="480" w:firstLineChars="200"/>
        <w:rPr>
          <w:rFonts w:hint="eastAsia" w:ascii="宋体" w:hAnsi="宋体" w:cs="宋体"/>
          <w:sz w:val="24"/>
          <w:szCs w:val="24"/>
        </w:rPr>
      </w:pPr>
      <w:r>
        <w:rPr>
          <w:rFonts w:hint="eastAsia" w:ascii="宋体" w:hAnsi="宋体" w:cs="宋体"/>
          <w:sz w:val="24"/>
          <w:szCs w:val="24"/>
        </w:rPr>
        <w:t>本授权书声明：</w:t>
      </w:r>
      <w:r>
        <w:rPr>
          <w:rFonts w:hint="eastAsia" w:ascii="宋体" w:hAnsi="宋体" w:cs="宋体"/>
          <w:sz w:val="24"/>
          <w:szCs w:val="24"/>
          <w:u w:val="single"/>
        </w:rPr>
        <w:t xml:space="preserve">           </w:t>
      </w:r>
      <w:r>
        <w:rPr>
          <w:rFonts w:hint="eastAsia" w:ascii="宋体" w:hAnsi="宋体" w:cs="宋体"/>
          <w:sz w:val="24"/>
          <w:szCs w:val="24"/>
        </w:rPr>
        <w:t>授权委托</w:t>
      </w:r>
      <w:r>
        <w:rPr>
          <w:rFonts w:hint="eastAsia" w:ascii="宋体" w:hAnsi="宋体" w:cs="宋体"/>
          <w:sz w:val="24"/>
          <w:szCs w:val="24"/>
          <w:u w:val="single"/>
        </w:rPr>
        <w:t xml:space="preserve">          </w:t>
      </w:r>
      <w:r>
        <w:rPr>
          <w:rFonts w:hint="eastAsia" w:ascii="宋体" w:hAnsi="宋体" w:cs="宋体"/>
          <w:sz w:val="24"/>
          <w:szCs w:val="24"/>
        </w:rPr>
        <w:t>为本公司的合法代理人，参加</w:t>
      </w:r>
      <w:r>
        <w:rPr>
          <w:rFonts w:hint="eastAsia" w:ascii="宋体" w:hAnsi="宋体" w:cs="宋体"/>
          <w:sz w:val="24"/>
          <w:szCs w:val="24"/>
          <w:u w:val="single"/>
        </w:rPr>
        <w:t xml:space="preserve">            (项目名称)          </w:t>
      </w:r>
      <w:r>
        <w:rPr>
          <w:rFonts w:hint="eastAsia" w:ascii="宋体" w:hAnsi="宋体" w:cs="宋体"/>
          <w:sz w:val="24"/>
          <w:szCs w:val="24"/>
        </w:rPr>
        <w:t>的招投标活动。全权代表本公司处理投标过程中的一切事宜，包括但不限于：投标、参与开标、评标、签约等。投标人代表在投标过程中签署的一切文件和处理与之有关的一切事务，本公司均予以认可并对此承担责任。投标人无转委托权。</w:t>
      </w:r>
    </w:p>
    <w:p>
      <w:pPr>
        <w:spacing w:line="360" w:lineRule="auto"/>
        <w:ind w:firstLine="480" w:firstLineChars="200"/>
        <w:rPr>
          <w:rFonts w:hint="eastAsia" w:ascii="宋体" w:hAnsi="宋体" w:cs="宋体"/>
          <w:sz w:val="24"/>
        </w:rPr>
      </w:pPr>
      <w:r>
        <w:rPr>
          <w:rFonts w:hint="eastAsia" w:ascii="宋体" w:hAnsi="宋体" w:cs="宋体"/>
          <w:sz w:val="24"/>
          <w:szCs w:val="24"/>
        </w:rPr>
        <w:t>本授权书自出具之日起生效。</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代理人无转委权。特此委托。</w:t>
      </w:r>
    </w:p>
    <w:p>
      <w:pPr>
        <w:pStyle w:val="16"/>
        <w:ind w:firstLine="560"/>
        <w:rPr>
          <w:rFonts w:hint="eastAsia"/>
          <w:sz w:val="24"/>
          <w:szCs w:val="32"/>
        </w:rPr>
      </w:pPr>
      <w:r>
        <w:rPr>
          <w:rFonts w:hint="eastAsia"/>
          <w:sz w:val="24"/>
          <w:szCs w:val="32"/>
        </w:rPr>
        <w:t>附件：投标人法定代表人、被授权代表人身份证复印件</w:t>
      </w:r>
    </w:p>
    <w:p>
      <w:pPr>
        <w:pStyle w:val="16"/>
        <w:rPr>
          <w:rFonts w:hint="eastAsia" w:ascii="宋体" w:hAnsi="宋体" w:cs="宋体"/>
          <w:sz w:val="24"/>
          <w:szCs w:val="24"/>
        </w:rPr>
      </w:pPr>
    </w:p>
    <w:p>
      <w:pPr>
        <w:pStyle w:val="16"/>
        <w:rPr>
          <w:rFonts w:hint="eastAsia" w:ascii="宋体" w:hAnsi="宋体" w:cs="宋体"/>
          <w:sz w:val="24"/>
          <w:szCs w:val="24"/>
        </w:rPr>
      </w:pPr>
    </w:p>
    <w:p>
      <w:pPr>
        <w:pStyle w:val="16"/>
        <w:ind w:left="0" w:leftChars="0" w:firstLine="0" w:firstLineChars="0"/>
        <w:rPr>
          <w:rFonts w:hint="eastAsia" w:ascii="宋体" w:hAnsi="宋体" w:cs="宋体"/>
          <w:sz w:val="24"/>
          <w:szCs w:val="24"/>
        </w:rPr>
      </w:pPr>
    </w:p>
    <w:p>
      <w:pPr>
        <w:pStyle w:val="16"/>
        <w:ind w:left="0" w:leftChars="0" w:firstLine="0" w:firstLineChars="0"/>
        <w:rPr>
          <w:rFonts w:hint="eastAsia" w:ascii="宋体" w:hAnsi="宋体" w:cs="宋体"/>
          <w:sz w:val="24"/>
          <w:szCs w:val="24"/>
        </w:rPr>
      </w:pPr>
    </w:p>
    <w:p>
      <w:pPr>
        <w:pStyle w:val="16"/>
        <w:ind w:left="0" w:leftChars="0" w:firstLine="0" w:firstLineChars="0"/>
        <w:rPr>
          <w:rFonts w:hint="eastAsia" w:ascii="宋体" w:hAnsi="宋体" w:cs="宋体"/>
          <w:sz w:val="24"/>
          <w:szCs w:val="24"/>
        </w:rPr>
      </w:pPr>
    </w:p>
    <w:p>
      <w:pPr>
        <w:pStyle w:val="16"/>
        <w:ind w:left="0" w:leftChars="0" w:firstLine="0" w:firstLineChars="0"/>
        <w:rPr>
          <w:rFonts w:hint="eastAsia" w:ascii="宋体" w:hAnsi="宋体" w:cs="宋体"/>
          <w:sz w:val="24"/>
          <w:szCs w:val="24"/>
        </w:rPr>
      </w:pPr>
    </w:p>
    <w:p>
      <w:pPr>
        <w:pStyle w:val="16"/>
        <w:ind w:left="0" w:leftChars="0" w:firstLine="0" w:firstLineChars="0"/>
        <w:rPr>
          <w:rFonts w:hint="eastAsia" w:ascii="宋体" w:hAnsi="宋体" w:cs="宋体"/>
          <w:sz w:val="24"/>
          <w:szCs w:val="24"/>
        </w:rPr>
      </w:pPr>
    </w:p>
    <w:p>
      <w:pPr>
        <w:pStyle w:val="16"/>
        <w:ind w:left="0" w:leftChars="0" w:firstLine="0" w:firstLineChars="0"/>
        <w:rPr>
          <w:rFonts w:hint="eastAsia" w:ascii="宋体" w:hAnsi="宋体" w:cs="宋体"/>
          <w:sz w:val="24"/>
          <w:szCs w:val="24"/>
        </w:rPr>
      </w:pPr>
    </w:p>
    <w:p>
      <w:pPr>
        <w:pStyle w:val="16"/>
        <w:ind w:left="0" w:leftChars="0" w:firstLine="0" w:firstLineChars="0"/>
        <w:rPr>
          <w:rFonts w:hint="eastAsia" w:ascii="宋体" w:hAnsi="宋体" w:cs="宋体"/>
          <w:sz w:val="24"/>
          <w:szCs w:val="24"/>
        </w:rPr>
      </w:pPr>
    </w:p>
    <w:p>
      <w:pPr>
        <w:pStyle w:val="16"/>
        <w:ind w:left="0" w:leftChars="0" w:firstLine="0" w:firstLineChars="0"/>
        <w:rPr>
          <w:rFonts w:hint="eastAsia" w:ascii="宋体" w:hAnsi="宋体" w:cs="宋体"/>
          <w:sz w:val="24"/>
          <w:szCs w:val="24"/>
        </w:rPr>
      </w:pPr>
    </w:p>
    <w:p>
      <w:pPr>
        <w:pStyle w:val="16"/>
        <w:ind w:left="0" w:leftChars="0" w:firstLine="0" w:firstLineChars="0"/>
        <w:rPr>
          <w:rFonts w:hint="eastAsia" w:ascii="宋体" w:hAnsi="宋体" w:cs="宋体"/>
          <w:sz w:val="24"/>
          <w:szCs w:val="24"/>
        </w:rPr>
      </w:pPr>
    </w:p>
    <w:p>
      <w:pPr>
        <w:pStyle w:val="16"/>
        <w:ind w:left="0" w:leftChars="0" w:firstLine="0" w:firstLineChars="0"/>
        <w:rPr>
          <w:rFonts w:hint="eastAsia" w:ascii="宋体" w:hAnsi="宋体" w:cs="宋体"/>
          <w:sz w:val="24"/>
          <w:szCs w:val="24"/>
        </w:rPr>
      </w:pPr>
    </w:p>
    <w:p>
      <w:pPr>
        <w:pStyle w:val="16"/>
        <w:ind w:left="0" w:leftChars="0" w:firstLine="0" w:firstLineChars="0"/>
        <w:rPr>
          <w:rFonts w:hint="eastAsia" w:ascii="宋体" w:hAnsi="宋体" w:cs="宋体"/>
          <w:sz w:val="24"/>
          <w:szCs w:val="24"/>
        </w:rPr>
      </w:pPr>
    </w:p>
    <w:p>
      <w:pPr>
        <w:pStyle w:val="16"/>
        <w:ind w:left="0" w:leftChars="0" w:firstLine="0" w:firstLineChars="0"/>
        <w:rPr>
          <w:rFonts w:hint="eastAsia" w:ascii="宋体" w:hAnsi="宋体" w:cs="宋体"/>
          <w:sz w:val="24"/>
          <w:szCs w:val="24"/>
        </w:rPr>
      </w:pPr>
    </w:p>
    <w:p>
      <w:pPr>
        <w:pStyle w:val="16"/>
        <w:ind w:left="0" w:leftChars="0" w:firstLine="0" w:firstLineChars="0"/>
        <w:rPr>
          <w:rFonts w:hint="eastAsia" w:ascii="宋体" w:hAnsi="宋体" w:cs="宋体"/>
          <w:sz w:val="24"/>
          <w:szCs w:val="24"/>
        </w:rPr>
      </w:pPr>
    </w:p>
    <w:p>
      <w:pPr>
        <w:pStyle w:val="16"/>
        <w:ind w:left="0" w:leftChars="0" w:firstLine="0" w:firstLineChars="0"/>
        <w:rPr>
          <w:rFonts w:hint="eastAsia" w:ascii="宋体" w:hAnsi="宋体" w:cs="宋体"/>
          <w:sz w:val="24"/>
          <w:szCs w:val="24"/>
        </w:rPr>
      </w:pPr>
    </w:p>
    <w:p>
      <w:pPr>
        <w:pStyle w:val="16"/>
        <w:ind w:left="0" w:leftChars="0" w:firstLine="0" w:firstLineChars="0"/>
        <w:rPr>
          <w:rFonts w:hint="eastAsia" w:ascii="宋体" w:hAnsi="宋体" w:cs="宋体"/>
          <w:sz w:val="24"/>
          <w:szCs w:val="24"/>
        </w:rPr>
      </w:pPr>
    </w:p>
    <w:p>
      <w:pPr>
        <w:pStyle w:val="16"/>
        <w:ind w:left="0" w:leftChars="0" w:firstLine="0" w:firstLineChars="0"/>
        <w:rPr>
          <w:rFonts w:hint="eastAsia" w:ascii="宋体" w:hAnsi="宋体" w:cs="宋体"/>
          <w:sz w:val="24"/>
          <w:szCs w:val="24"/>
        </w:rPr>
      </w:pPr>
    </w:p>
    <w:p>
      <w:pPr>
        <w:pStyle w:val="16"/>
        <w:ind w:left="0" w:leftChars="0" w:firstLine="0" w:firstLineChars="0"/>
        <w:rPr>
          <w:rFonts w:hint="eastAsia" w:ascii="宋体" w:hAnsi="宋体" w:cs="宋体"/>
          <w:sz w:val="24"/>
          <w:szCs w:val="24"/>
        </w:rPr>
      </w:pPr>
    </w:p>
    <w:p>
      <w:pPr>
        <w:pStyle w:val="16"/>
        <w:ind w:left="0" w:leftChars="0" w:firstLine="0" w:firstLineChars="0"/>
        <w:rPr>
          <w:rFonts w:hint="eastAsia" w:ascii="宋体" w:hAnsi="宋体" w:cs="宋体"/>
          <w:sz w:val="24"/>
          <w:szCs w:val="24"/>
        </w:rPr>
      </w:pPr>
    </w:p>
    <w:p>
      <w:pPr>
        <w:pStyle w:val="16"/>
        <w:rPr>
          <w:rFonts w:hint="eastAsia" w:ascii="宋体" w:hAnsi="宋体" w:cs="宋体"/>
          <w:sz w:val="24"/>
          <w:szCs w:val="24"/>
        </w:rPr>
      </w:pPr>
    </w:p>
    <w:p>
      <w:pPr>
        <w:spacing w:line="360" w:lineRule="auto"/>
        <w:ind w:firstLine="4080" w:firstLineChars="1700"/>
        <w:jc w:val="both"/>
        <w:rPr>
          <w:rFonts w:hint="eastAsia" w:ascii="宋体" w:hAnsi="宋体" w:cs="宋体"/>
          <w:sz w:val="24"/>
          <w:szCs w:val="24"/>
        </w:rPr>
      </w:pPr>
      <w:r>
        <w:rPr>
          <w:rFonts w:hint="eastAsia" w:ascii="宋体" w:hAnsi="宋体" w:cs="宋体"/>
          <w:sz w:val="24"/>
          <w:szCs w:val="24"/>
        </w:rPr>
        <w:t>投标人：</w:t>
      </w:r>
      <w:r>
        <w:rPr>
          <w:rFonts w:hint="eastAsia" w:ascii="宋体" w:hAnsi="宋体" w:cs="宋体"/>
          <w:sz w:val="24"/>
          <w:szCs w:val="24"/>
          <w:u w:val="single"/>
        </w:rPr>
        <w:t xml:space="preserve">                          </w:t>
      </w:r>
      <w:r>
        <w:rPr>
          <w:rFonts w:hint="eastAsia" w:ascii="宋体" w:hAnsi="宋体" w:cs="宋体"/>
          <w:sz w:val="24"/>
          <w:szCs w:val="24"/>
        </w:rPr>
        <w:t>（盖单位章）</w:t>
      </w:r>
    </w:p>
    <w:p>
      <w:pPr>
        <w:spacing w:line="360" w:lineRule="auto"/>
        <w:jc w:val="right"/>
        <w:rPr>
          <w:rFonts w:hint="eastAsia" w:ascii="宋体" w:hAnsi="宋体" w:cs="宋体"/>
          <w:sz w:val="24"/>
          <w:szCs w:val="24"/>
        </w:rPr>
      </w:pPr>
      <w:r>
        <w:rPr>
          <w:rFonts w:hint="eastAsia" w:ascii="宋体" w:hAnsi="宋体" w:cs="宋体"/>
          <w:sz w:val="24"/>
          <w:szCs w:val="24"/>
        </w:rPr>
        <w:t>法定代表人：</w:t>
      </w:r>
      <w:r>
        <w:rPr>
          <w:rFonts w:hint="eastAsia" w:ascii="宋体" w:hAnsi="宋体" w:cs="宋体"/>
          <w:sz w:val="24"/>
          <w:szCs w:val="24"/>
          <w:u w:val="single"/>
        </w:rPr>
        <w:t xml:space="preserve">                     </w:t>
      </w:r>
      <w:r>
        <w:rPr>
          <w:rFonts w:hint="eastAsia" w:ascii="宋体" w:hAnsi="宋体" w:cs="宋体"/>
          <w:sz w:val="24"/>
          <w:szCs w:val="24"/>
        </w:rPr>
        <w:t>（签字或盖章）</w:t>
      </w:r>
    </w:p>
    <w:p>
      <w:pPr>
        <w:pStyle w:val="16"/>
        <w:spacing w:line="360" w:lineRule="auto"/>
        <w:ind w:firstLine="4080" w:firstLineChars="1700"/>
        <w:rPr>
          <w:rFonts w:hint="default" w:eastAsia="宋体"/>
          <w:lang w:val="en-US" w:eastAsia="zh-CN"/>
        </w:rPr>
      </w:pPr>
      <w:r>
        <w:rPr>
          <w:sz w:val="24"/>
        </w:rPr>
        <mc:AlternateContent>
          <mc:Choice Requires="wps">
            <w:drawing>
              <wp:anchor distT="0" distB="0" distL="114300" distR="114300" simplePos="0" relativeHeight="251659264" behindDoc="0" locked="0" layoutInCell="1" allowOverlap="1">
                <wp:simplePos x="0" y="0"/>
                <wp:positionH relativeFrom="column">
                  <wp:posOffset>3402965</wp:posOffset>
                </wp:positionH>
                <wp:positionV relativeFrom="paragraph">
                  <wp:posOffset>161290</wp:posOffset>
                </wp:positionV>
                <wp:extent cx="1619250" cy="17780"/>
                <wp:effectExtent l="0" t="4445" r="0" b="6350"/>
                <wp:wrapNone/>
                <wp:docPr id="5" name="直接连接符 5"/>
                <wp:cNvGraphicFramePr/>
                <a:graphic xmlns:a="http://schemas.openxmlformats.org/drawingml/2006/main">
                  <a:graphicData uri="http://schemas.microsoft.com/office/word/2010/wordprocessingShape">
                    <wps:wsp>
                      <wps:cNvCnPr/>
                      <wps:spPr>
                        <a:xfrm>
                          <a:off x="4123055" y="5196840"/>
                          <a:ext cx="1619250" cy="177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67.95pt;margin-top:12.7pt;height:1.4pt;width:127.5pt;z-index:251659264;mso-width-relative:page;mso-height-relative:page;" filled="f" stroked="t" coordsize="21600,21600" o:gfxdata="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UbxpbZAAAACQEAAA8AAAAAAAAAAQAgAAAAIgAA&#10;AGRycy9kb3ducmV2LnhtbFBLAQIUABQAAAAIAIdO4kDBjfTtBwIAAOMDAAAOAAAAAAAAAAEAIAAA&#10;ACgBAABkcnMvZTJvRG9jLnhtbFBLBQYAAAAABgAGAFkBAAChBQAAAAA=&#10;">
                <v:fill on="f" focussize="0,0"/>
                <v:stroke color="#4A7EBB [3204]" joinstyle="round"/>
                <v:imagedata o:title=""/>
                <o:lock v:ext="edit" aspectratio="f"/>
              </v:line>
            </w:pict>
          </mc:Fallback>
        </mc:AlternateContent>
      </w:r>
      <w:r>
        <w:rPr>
          <w:rFonts w:hint="eastAsia" w:ascii="宋体" w:hAnsi="宋体" w:cs="宋体"/>
          <w:sz w:val="24"/>
          <w:szCs w:val="24"/>
          <w:lang w:eastAsia="zh-CN"/>
        </w:rPr>
        <w:t>联系电话</w:t>
      </w:r>
      <w:r>
        <w:rPr>
          <w:rFonts w:hint="eastAsia" w:ascii="宋体" w:hAnsi="宋体" w:cs="宋体"/>
          <w:sz w:val="24"/>
          <w:szCs w:val="24"/>
          <w:lang w:val="en-US" w:eastAsia="zh-CN"/>
        </w:rPr>
        <w:t xml:space="preserve">:  </w:t>
      </w:r>
      <w:r>
        <w:rPr>
          <w:rFonts w:hint="eastAsia" w:ascii="宋体" w:hAnsi="宋体" w:cs="宋体"/>
          <w:sz w:val="24"/>
          <w:szCs w:val="24"/>
          <w:u w:val="single"/>
          <w:lang w:val="en-US" w:eastAsia="zh-CN"/>
        </w:rPr>
        <w:t xml:space="preserve">                </w:t>
      </w:r>
    </w:p>
    <w:p>
      <w:pPr>
        <w:spacing w:line="360" w:lineRule="auto"/>
        <w:ind w:firstLine="3840" w:firstLineChars="1600"/>
        <w:rPr>
          <w:rFonts w:hint="eastAsia" w:ascii="宋体" w:hAnsi="宋体" w:cs="宋体"/>
          <w:sz w:val="24"/>
          <w:szCs w:val="24"/>
        </w:rPr>
      </w:pPr>
      <w:r>
        <w:rPr>
          <w:rFonts w:hint="eastAsia" w:ascii="宋体" w:hAnsi="宋体" w:cs="宋体"/>
          <w:sz w:val="24"/>
          <w:szCs w:val="24"/>
        </w:rPr>
        <w:t>委托代理人：</w:t>
      </w:r>
      <w:r>
        <w:rPr>
          <w:rFonts w:hint="eastAsia" w:ascii="宋体" w:hAnsi="宋体" w:cs="宋体"/>
          <w:sz w:val="24"/>
          <w:szCs w:val="24"/>
          <w:u w:val="single"/>
        </w:rPr>
        <w:t xml:space="preserve">                   </w:t>
      </w:r>
      <w:r>
        <w:rPr>
          <w:rFonts w:hint="eastAsia" w:ascii="宋体" w:hAnsi="宋体" w:cs="宋体"/>
          <w:sz w:val="24"/>
          <w:szCs w:val="24"/>
        </w:rPr>
        <w:t>（签字或盖章）</w:t>
      </w:r>
    </w:p>
    <w:p>
      <w:pPr>
        <w:pStyle w:val="16"/>
        <w:spacing w:line="360" w:lineRule="auto"/>
        <w:ind w:firstLine="4080" w:firstLineChars="1700"/>
        <w:rPr>
          <w:rFonts w:hint="default" w:eastAsia="宋体"/>
          <w:lang w:val="en-US" w:eastAsia="zh-CN"/>
        </w:rPr>
      </w:pPr>
      <w:r>
        <w:rPr>
          <w:sz w:val="24"/>
        </w:rPr>
        <mc:AlternateContent>
          <mc:Choice Requires="wps">
            <w:drawing>
              <wp:anchor distT="0" distB="0" distL="114300" distR="114300" simplePos="0" relativeHeight="251660288" behindDoc="0" locked="0" layoutInCell="1" allowOverlap="1">
                <wp:simplePos x="0" y="0"/>
                <wp:positionH relativeFrom="column">
                  <wp:posOffset>3333750</wp:posOffset>
                </wp:positionH>
                <wp:positionV relativeFrom="paragraph">
                  <wp:posOffset>168275</wp:posOffset>
                </wp:positionV>
                <wp:extent cx="1731645" cy="17780"/>
                <wp:effectExtent l="0" t="4445" r="1905" b="6350"/>
                <wp:wrapNone/>
                <wp:docPr id="6" name="直接连接符 6"/>
                <wp:cNvGraphicFramePr/>
                <a:graphic xmlns:a="http://schemas.openxmlformats.org/drawingml/2006/main">
                  <a:graphicData uri="http://schemas.microsoft.com/office/word/2010/wordprocessingShape">
                    <wps:wsp>
                      <wps:cNvCnPr/>
                      <wps:spPr>
                        <a:xfrm flipV="1">
                          <a:off x="4053840" y="5699125"/>
                          <a:ext cx="1731645" cy="177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262.5pt;margin-top:13.25pt;height:1.4pt;width:136.35pt;z-index:251660288;mso-width-relative:page;mso-height-relative:page;" filled="f" stroked="t" coordsize="21600,21600" o:gfxdata="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164Ml2QAAAAkBAAAPAAAAAAAA&#10;AAEAIAAAACIAAABkcnMvZG93bnJldi54bWxQSwECFAAUAAAACACHTuJA2WmVrhECAADtAwAADgAA&#10;AAAAAAABACAAAAAoAQAAZHJzL2Uyb0RvYy54bWxQSwUGAAAAAAYABgBZAQAAqwUAAAAA&#10;">
                <v:fill on="f" focussize="0,0"/>
                <v:stroke color="#4A7EBB [3204]" joinstyle="round"/>
                <v:imagedata o:title=""/>
                <o:lock v:ext="edit" aspectratio="f"/>
              </v:line>
            </w:pict>
          </mc:Fallback>
        </mc:AlternateContent>
      </w:r>
      <w:r>
        <w:rPr>
          <w:rFonts w:hint="eastAsia" w:ascii="宋体" w:hAnsi="宋体" w:cs="宋体"/>
          <w:sz w:val="24"/>
          <w:szCs w:val="24"/>
          <w:lang w:eastAsia="zh-CN"/>
        </w:rPr>
        <w:t>联系电话</w:t>
      </w:r>
      <w:r>
        <w:rPr>
          <w:rFonts w:hint="eastAsia" w:ascii="宋体" w:hAnsi="宋体" w:cs="宋体"/>
          <w:sz w:val="24"/>
          <w:szCs w:val="24"/>
          <w:lang w:val="en-US" w:eastAsia="zh-CN"/>
        </w:rPr>
        <w:t>:</w:t>
      </w:r>
    </w:p>
    <w:p>
      <w:pPr>
        <w:spacing w:line="360" w:lineRule="auto"/>
        <w:ind w:firstLine="5760" w:firstLineChars="2400"/>
        <w:rPr>
          <w:rFonts w:hint="eastAsia" w:ascii="宋体" w:hAnsi="宋体" w:cs="宋体"/>
          <w:sz w:val="24"/>
        </w:rPr>
      </w:pPr>
      <w:r>
        <w:rPr>
          <w:rFonts w:hint="eastAsia" w:ascii="宋体" w:hAnsi="宋体" w:cs="宋体"/>
          <w:sz w:val="24"/>
        </w:rPr>
        <w:t xml:space="preserve">       </w:t>
      </w:r>
    </w:p>
    <w:p>
      <w:pPr>
        <w:spacing w:line="360" w:lineRule="auto"/>
        <w:ind w:firstLine="6720" w:firstLineChars="2800"/>
        <w:rPr>
          <w:rFonts w:hint="eastAsia" w:ascii="宋体" w:hAnsi="宋体" w:cs="宋体"/>
          <w:sz w:val="24"/>
        </w:rPr>
      </w:pP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bookmarkEnd w:id="67"/>
    <w:p>
      <w:pPr>
        <w:spacing w:line="360" w:lineRule="auto"/>
        <w:ind w:firstLine="3150" w:firstLineChars="1500"/>
        <w:rPr>
          <w:rFonts w:ascii="宋体" w:hAnsi="宋体" w:cs="宋体"/>
          <w:b/>
          <w:bCs/>
          <w:sz w:val="28"/>
          <w:szCs w:val="28"/>
          <w:lang w:bidi="he-IL"/>
        </w:rPr>
      </w:pPr>
      <w:bookmarkStart w:id="74" w:name="_Toc20507"/>
      <w:bookmarkStart w:id="75" w:name="_Hlk450185103"/>
      <w:r>
        <w:rPr>
          <w:rFonts w:hint="eastAsia" w:ascii="宋体" w:hAnsi="宋体" w:cs="宋体"/>
          <w:kern w:val="0"/>
          <w:szCs w:val="28"/>
          <w:lang w:val="en-US" w:eastAsia="zh-CN"/>
        </w:rPr>
        <w:t xml:space="preserve">  </w:t>
      </w:r>
      <w:bookmarkStart w:id="76" w:name="_Toc8369_WPSOffice_Level1"/>
      <w:r>
        <w:rPr>
          <w:rFonts w:hint="eastAsia" w:ascii="仿宋_GB2312" w:eastAsia="仿宋_GB2312" w:cs="仿宋_GB2312"/>
          <w:b/>
          <w:kern w:val="0"/>
          <w:sz w:val="28"/>
          <w:szCs w:val="28"/>
          <w:lang w:val="en-US" w:eastAsia="zh-CN"/>
        </w:rPr>
        <w:t>三</w:t>
      </w:r>
      <w:r>
        <w:rPr>
          <w:rFonts w:hint="eastAsia" w:ascii="仿宋_GB2312" w:eastAsia="仿宋_GB2312" w:cs="仿宋_GB2312"/>
          <w:b/>
          <w:kern w:val="0"/>
          <w:sz w:val="28"/>
          <w:szCs w:val="28"/>
        </w:rPr>
        <w:t>、开标一览表</w:t>
      </w:r>
      <w:bookmarkEnd w:id="74"/>
      <w:bookmarkEnd w:id="75"/>
      <w:bookmarkEnd w:id="76"/>
    </w:p>
    <w:p>
      <w:pPr>
        <w:spacing w:line="360" w:lineRule="auto"/>
        <w:ind w:firstLine="560" w:firstLineChars="200"/>
        <w:rPr>
          <w:rFonts w:hint="eastAsia" w:ascii="宋体" w:hAnsi="宋体" w:cs="宋体"/>
          <w:sz w:val="28"/>
          <w:szCs w:val="28"/>
          <w:lang w:eastAsia="zh-CN"/>
        </w:rPr>
      </w:pPr>
      <w:r>
        <w:rPr>
          <w:rFonts w:ascii="宋体" w:hAnsi="宋体" w:cs="宋体"/>
          <w:sz w:val="28"/>
          <w:szCs w:val="28"/>
        </w:rPr>
        <w:t>投标人名称:</w:t>
      </w:r>
      <w:r>
        <w:rPr>
          <w:rFonts w:hint="eastAsia" w:ascii="宋体" w:hAnsi="宋体" w:cs="宋体"/>
          <w:sz w:val="28"/>
          <w:szCs w:val="28"/>
          <w:lang w:val="en-US" w:eastAsia="zh-CN"/>
        </w:rPr>
        <w:t xml:space="preserve">           </w:t>
      </w:r>
      <w:r>
        <w:rPr>
          <w:rFonts w:hint="eastAsia" w:ascii="宋体" w:hAnsi="宋体" w:cs="宋体"/>
          <w:sz w:val="28"/>
          <w:szCs w:val="28"/>
          <w:lang w:eastAsia="zh-CN"/>
        </w:rPr>
        <w:t>（盖章）</w:t>
      </w:r>
    </w:p>
    <w:tbl>
      <w:tblPr>
        <w:tblStyle w:val="17"/>
        <w:tblW w:w="9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76"/>
        <w:gridCol w:w="6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3576" w:type="dxa"/>
            <w:noWrap w:val="0"/>
            <w:vAlign w:val="center"/>
          </w:tcPr>
          <w:p>
            <w:pPr>
              <w:snapToGrid w:val="0"/>
              <w:spacing w:line="400" w:lineRule="atLeast"/>
              <w:ind w:left="56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招标项目名称</w:t>
            </w:r>
          </w:p>
        </w:tc>
        <w:tc>
          <w:tcPr>
            <w:tcW w:w="6403" w:type="dxa"/>
            <w:noWrap w:val="0"/>
            <w:vAlign w:val="top"/>
          </w:tcPr>
          <w:p>
            <w:pPr>
              <w:snapToGrid w:val="0"/>
              <w:spacing w:line="400" w:lineRule="atLeast"/>
              <w:ind w:left="560"/>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3576" w:type="dxa"/>
            <w:noWrap w:val="0"/>
            <w:vAlign w:val="center"/>
          </w:tcPr>
          <w:p>
            <w:pPr>
              <w:snapToGrid w:val="0"/>
              <w:spacing w:line="400" w:lineRule="atLeast"/>
              <w:ind w:left="56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投标人名称</w:t>
            </w:r>
          </w:p>
        </w:tc>
        <w:tc>
          <w:tcPr>
            <w:tcW w:w="6403" w:type="dxa"/>
            <w:noWrap w:val="0"/>
            <w:vAlign w:val="top"/>
          </w:tcPr>
          <w:p>
            <w:pPr>
              <w:snapToGrid w:val="0"/>
              <w:spacing w:line="400" w:lineRule="atLeast"/>
              <w:ind w:left="560"/>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3576" w:type="dxa"/>
            <w:vMerge w:val="restart"/>
            <w:noWrap w:val="0"/>
            <w:vAlign w:val="center"/>
          </w:tcPr>
          <w:p>
            <w:pPr>
              <w:snapToGrid w:val="0"/>
              <w:spacing w:line="400" w:lineRule="atLeast"/>
              <w:ind w:left="560"/>
              <w:jc w:val="center"/>
              <w:rPr>
                <w:rFonts w:hint="eastAsia" w:asciiTheme="minorEastAsia" w:hAnsiTheme="minorEastAsia" w:eastAsiaTheme="minorEastAsia" w:cstheme="minorEastAsia"/>
                <w:sz w:val="24"/>
                <w:szCs w:val="24"/>
              </w:rPr>
            </w:pPr>
          </w:p>
          <w:p>
            <w:pPr>
              <w:snapToGrid w:val="0"/>
              <w:spacing w:line="400" w:lineRule="atLeast"/>
              <w:ind w:left="560"/>
              <w:jc w:val="center"/>
              <w:rPr>
                <w:rFonts w:hint="eastAsia" w:asciiTheme="minorEastAsia" w:hAnsiTheme="minorEastAsia" w:eastAsiaTheme="minorEastAsia" w:cstheme="minorEastAsia"/>
                <w:sz w:val="24"/>
                <w:szCs w:val="24"/>
              </w:rPr>
            </w:pPr>
          </w:p>
          <w:p>
            <w:pPr>
              <w:snapToGrid w:val="0"/>
              <w:spacing w:line="400" w:lineRule="atLeast"/>
              <w:ind w:left="56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分项报价</w:t>
            </w:r>
          </w:p>
          <w:p>
            <w:pPr>
              <w:snapToGrid w:val="0"/>
              <w:spacing w:line="400" w:lineRule="atLeast"/>
              <w:ind w:left="560"/>
              <w:jc w:val="center"/>
              <w:rPr>
                <w:rFonts w:hint="eastAsia" w:asciiTheme="minorEastAsia" w:hAnsiTheme="minorEastAsia" w:eastAsiaTheme="minorEastAsia" w:cstheme="minorEastAsia"/>
                <w:sz w:val="24"/>
                <w:szCs w:val="24"/>
              </w:rPr>
            </w:pPr>
          </w:p>
        </w:tc>
        <w:tc>
          <w:tcPr>
            <w:tcW w:w="6403" w:type="dxa"/>
            <w:noWrap w:val="0"/>
            <w:vAlign w:val="center"/>
          </w:tcPr>
          <w:p>
            <w:pPr>
              <w:snapToGrid w:val="0"/>
              <w:spacing w:line="400" w:lineRule="atLeast"/>
              <w:ind w:left="5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住宅:                     元/平方米/月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3576" w:type="dxa"/>
            <w:vMerge w:val="continue"/>
            <w:noWrap w:val="0"/>
            <w:vAlign w:val="center"/>
          </w:tcPr>
          <w:p>
            <w:pPr>
              <w:snapToGrid w:val="0"/>
              <w:spacing w:line="400" w:lineRule="atLeast"/>
              <w:ind w:left="560"/>
              <w:jc w:val="center"/>
              <w:rPr>
                <w:rFonts w:hint="eastAsia" w:asciiTheme="minorEastAsia" w:hAnsiTheme="minorEastAsia" w:eastAsiaTheme="minorEastAsia" w:cstheme="minorEastAsia"/>
                <w:sz w:val="24"/>
                <w:szCs w:val="24"/>
              </w:rPr>
            </w:pPr>
          </w:p>
        </w:tc>
        <w:tc>
          <w:tcPr>
            <w:tcW w:w="6403" w:type="dxa"/>
            <w:noWrap w:val="0"/>
            <w:vAlign w:val="center"/>
          </w:tcPr>
          <w:p>
            <w:pPr>
              <w:snapToGrid w:val="0"/>
              <w:spacing w:line="400" w:lineRule="atLeast"/>
              <w:ind w:left="5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商业:                     元/平方米/月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3576" w:type="dxa"/>
            <w:vMerge w:val="continue"/>
            <w:noWrap w:val="0"/>
            <w:vAlign w:val="center"/>
          </w:tcPr>
          <w:p>
            <w:pPr>
              <w:snapToGrid w:val="0"/>
              <w:spacing w:line="400" w:lineRule="atLeast"/>
              <w:ind w:left="560"/>
              <w:jc w:val="center"/>
              <w:rPr>
                <w:rFonts w:hint="eastAsia" w:asciiTheme="minorEastAsia" w:hAnsiTheme="minorEastAsia" w:eastAsiaTheme="minorEastAsia" w:cstheme="minorEastAsia"/>
                <w:sz w:val="24"/>
                <w:szCs w:val="24"/>
              </w:rPr>
            </w:pPr>
          </w:p>
        </w:tc>
        <w:tc>
          <w:tcPr>
            <w:tcW w:w="6403" w:type="dxa"/>
            <w:noWrap w:val="0"/>
            <w:vAlign w:val="center"/>
          </w:tcPr>
          <w:p>
            <w:pPr>
              <w:snapToGrid w:val="0"/>
              <w:spacing w:line="400" w:lineRule="atLeast"/>
              <w:ind w:left="560" w:leftChars="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车辆停放管理费（地面）：      元/辆/月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3576" w:type="dxa"/>
            <w:vMerge w:val="continue"/>
            <w:noWrap w:val="0"/>
            <w:vAlign w:val="center"/>
          </w:tcPr>
          <w:p>
            <w:pPr>
              <w:snapToGrid w:val="0"/>
              <w:spacing w:line="400" w:lineRule="atLeast"/>
              <w:ind w:left="560"/>
              <w:jc w:val="center"/>
              <w:rPr>
                <w:rFonts w:hint="eastAsia" w:asciiTheme="minorEastAsia" w:hAnsiTheme="minorEastAsia" w:eastAsiaTheme="minorEastAsia" w:cstheme="minorEastAsia"/>
                <w:sz w:val="24"/>
                <w:szCs w:val="24"/>
              </w:rPr>
            </w:pPr>
          </w:p>
        </w:tc>
        <w:tc>
          <w:tcPr>
            <w:tcW w:w="6403" w:type="dxa"/>
            <w:noWrap w:val="0"/>
            <w:vAlign w:val="center"/>
          </w:tcPr>
          <w:p>
            <w:pPr>
              <w:snapToGrid w:val="0"/>
              <w:spacing w:line="400" w:lineRule="atLeast"/>
              <w:ind w:left="560" w:leftChars="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车辆停放管理费（地下）：      元/辆/月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3576" w:type="dxa"/>
            <w:vMerge w:val="restart"/>
            <w:noWrap w:val="0"/>
            <w:vAlign w:val="center"/>
          </w:tcPr>
          <w:p>
            <w:pPr>
              <w:snapToGrid w:val="0"/>
              <w:spacing w:line="400" w:lineRule="atLeast"/>
              <w:ind w:left="56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免费项目</w:t>
            </w:r>
          </w:p>
        </w:tc>
        <w:tc>
          <w:tcPr>
            <w:tcW w:w="6403" w:type="dxa"/>
            <w:noWrap w:val="0"/>
            <w:vAlign w:val="top"/>
          </w:tcPr>
          <w:p>
            <w:pPr>
              <w:snapToGrid w:val="0"/>
              <w:spacing w:line="400" w:lineRule="atLeast"/>
              <w:ind w:left="560"/>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3576" w:type="dxa"/>
            <w:vMerge w:val="continue"/>
            <w:noWrap w:val="0"/>
            <w:vAlign w:val="center"/>
          </w:tcPr>
          <w:p>
            <w:pPr>
              <w:snapToGrid w:val="0"/>
              <w:spacing w:line="400" w:lineRule="atLeast"/>
              <w:ind w:left="560"/>
              <w:jc w:val="center"/>
              <w:rPr>
                <w:rFonts w:hint="eastAsia" w:asciiTheme="minorEastAsia" w:hAnsiTheme="minorEastAsia" w:eastAsiaTheme="minorEastAsia" w:cstheme="minorEastAsia"/>
                <w:sz w:val="24"/>
                <w:szCs w:val="24"/>
              </w:rPr>
            </w:pPr>
          </w:p>
        </w:tc>
        <w:tc>
          <w:tcPr>
            <w:tcW w:w="6403" w:type="dxa"/>
            <w:noWrap w:val="0"/>
            <w:vAlign w:val="top"/>
          </w:tcPr>
          <w:p>
            <w:pPr>
              <w:snapToGrid w:val="0"/>
              <w:spacing w:line="400" w:lineRule="atLeast"/>
              <w:ind w:left="560"/>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3576" w:type="dxa"/>
            <w:vMerge w:val="restart"/>
            <w:noWrap w:val="0"/>
            <w:vAlign w:val="center"/>
          </w:tcPr>
          <w:p>
            <w:pPr>
              <w:snapToGrid w:val="0"/>
              <w:spacing w:line="400" w:lineRule="atLeast"/>
              <w:ind w:left="56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投标总报价</w:t>
            </w:r>
          </w:p>
          <w:p>
            <w:pPr>
              <w:snapToGrid w:val="0"/>
              <w:spacing w:line="400" w:lineRule="atLeast"/>
              <w:ind w:left="56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（人民币：元/年）</w:t>
            </w:r>
          </w:p>
        </w:tc>
        <w:tc>
          <w:tcPr>
            <w:tcW w:w="6403" w:type="dxa"/>
            <w:noWrap w:val="0"/>
            <w:vAlign w:val="center"/>
          </w:tcPr>
          <w:p>
            <w:pPr>
              <w:snapToGrid w:val="0"/>
              <w:spacing w:line="400" w:lineRule="atLeast"/>
              <w:ind w:left="5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大写: </w:t>
            </w:r>
            <w:r>
              <w:rPr>
                <w:rFonts w:hint="eastAsia" w:asciiTheme="minorEastAsia" w:hAnsiTheme="minorEastAsia" w:eastAsiaTheme="minorEastAsia" w:cstheme="minorEastAsia"/>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3576" w:type="dxa"/>
            <w:vMerge w:val="continue"/>
            <w:noWrap w:val="0"/>
            <w:vAlign w:val="center"/>
          </w:tcPr>
          <w:p>
            <w:pPr>
              <w:snapToGrid w:val="0"/>
              <w:spacing w:line="400" w:lineRule="atLeast"/>
              <w:ind w:left="560"/>
              <w:jc w:val="center"/>
              <w:rPr>
                <w:rFonts w:hint="eastAsia" w:asciiTheme="minorEastAsia" w:hAnsiTheme="minorEastAsia" w:eastAsiaTheme="minorEastAsia" w:cstheme="minorEastAsia"/>
                <w:sz w:val="24"/>
                <w:szCs w:val="24"/>
              </w:rPr>
            </w:pPr>
          </w:p>
        </w:tc>
        <w:tc>
          <w:tcPr>
            <w:tcW w:w="6403" w:type="dxa"/>
            <w:noWrap w:val="0"/>
            <w:vAlign w:val="center"/>
          </w:tcPr>
          <w:p>
            <w:pPr>
              <w:snapToGrid w:val="0"/>
              <w:spacing w:line="400" w:lineRule="atLeast"/>
              <w:ind w:left="5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小写:</w:t>
            </w:r>
            <w:r>
              <w:rPr>
                <w:rFonts w:hint="eastAsia" w:asciiTheme="minorEastAsia" w:hAnsiTheme="minorEastAsia" w:eastAsiaTheme="minorEastAsia" w:cstheme="minorEastAsia"/>
                <w:color w:val="000000"/>
                <w:kern w:val="0"/>
                <w:sz w:val="24"/>
                <w:szCs w:val="24"/>
              </w:rPr>
              <w:t xml:space="preserve"> </w:t>
            </w:r>
            <w:r>
              <w:rPr>
                <w:rFonts w:hint="eastAsia" w:asciiTheme="minorEastAsia" w:hAnsiTheme="minorEastAsia" w:eastAsiaTheme="minorEastAsia" w:cstheme="minorEastAsia"/>
                <w:b/>
                <w:color w:val="000000"/>
                <w:kern w:val="0"/>
                <w:sz w:val="24"/>
                <w:szCs w:val="24"/>
              </w:rPr>
              <w:t xml:space="preserve">    </w:t>
            </w:r>
            <w:r>
              <w:rPr>
                <w:rFonts w:hint="eastAsia" w:asciiTheme="minorEastAsia" w:hAnsiTheme="minorEastAsia" w:eastAsiaTheme="minorEastAsia" w:cstheme="minorEastAsia"/>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3576" w:type="dxa"/>
            <w:vMerge w:val="restart"/>
            <w:noWrap w:val="0"/>
            <w:vAlign w:val="center"/>
          </w:tcPr>
          <w:p>
            <w:pPr>
              <w:snapToGrid w:val="0"/>
              <w:spacing w:line="400" w:lineRule="atLeast"/>
              <w:ind w:left="56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服务承诺</w:t>
            </w:r>
          </w:p>
        </w:tc>
        <w:tc>
          <w:tcPr>
            <w:tcW w:w="6403" w:type="dxa"/>
            <w:noWrap w:val="0"/>
            <w:vAlign w:val="center"/>
          </w:tcPr>
          <w:p>
            <w:pPr>
              <w:snapToGrid w:val="0"/>
              <w:spacing w:line="400" w:lineRule="atLeast"/>
              <w:ind w:left="5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客户满意率:   %；保洁及时率:  %；设备完好率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3576" w:type="dxa"/>
            <w:vMerge w:val="continue"/>
            <w:noWrap w:val="0"/>
            <w:vAlign w:val="center"/>
          </w:tcPr>
          <w:p>
            <w:pPr>
              <w:snapToGrid w:val="0"/>
              <w:spacing w:line="400" w:lineRule="atLeast"/>
              <w:ind w:left="560"/>
              <w:jc w:val="center"/>
              <w:rPr>
                <w:rFonts w:hint="eastAsia" w:asciiTheme="minorEastAsia" w:hAnsiTheme="minorEastAsia" w:eastAsiaTheme="minorEastAsia" w:cstheme="minorEastAsia"/>
                <w:sz w:val="24"/>
                <w:szCs w:val="24"/>
              </w:rPr>
            </w:pPr>
          </w:p>
        </w:tc>
        <w:tc>
          <w:tcPr>
            <w:tcW w:w="6403" w:type="dxa"/>
            <w:noWrap w:val="0"/>
            <w:vAlign w:val="center"/>
          </w:tcPr>
          <w:p>
            <w:pPr>
              <w:snapToGrid w:val="0"/>
              <w:spacing w:line="400" w:lineRule="atLeast"/>
              <w:ind w:left="5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维修及时率: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%；投诉处理、回访率: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3576" w:type="dxa"/>
            <w:noWrap w:val="0"/>
            <w:vAlign w:val="center"/>
          </w:tcPr>
          <w:p>
            <w:pPr>
              <w:snapToGrid w:val="0"/>
              <w:spacing w:line="400" w:lineRule="atLeast"/>
              <w:ind w:left="560" w:firstLine="960" w:firstLineChars="4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服务标准</w:t>
            </w:r>
          </w:p>
        </w:tc>
        <w:tc>
          <w:tcPr>
            <w:tcW w:w="6403" w:type="dxa"/>
            <w:noWrap w:val="0"/>
            <w:vAlign w:val="center"/>
          </w:tcPr>
          <w:p>
            <w:pPr>
              <w:snapToGrid w:val="0"/>
              <w:spacing w:line="40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住宅按照《安徽省住宅区物业服务标准》</w:t>
            </w:r>
            <w:r>
              <w:rPr>
                <w:rFonts w:hint="eastAsia" w:asciiTheme="minorEastAsia" w:hAnsiTheme="minorEastAsia" w:eastAsiaTheme="minorEastAsia" w:cstheme="minorEastAsia"/>
                <w:sz w:val="24"/>
                <w:szCs w:val="24"/>
                <w:u w:val="single"/>
                <w:lang w:eastAsia="zh-CN"/>
              </w:rPr>
              <w:t>B</w:t>
            </w:r>
            <w:r>
              <w:rPr>
                <w:rFonts w:hint="eastAsia" w:asciiTheme="minorEastAsia" w:hAnsiTheme="minorEastAsia" w:eastAsiaTheme="minorEastAsia" w:cstheme="minorEastAsia"/>
                <w:sz w:val="24"/>
                <w:szCs w:val="24"/>
              </w:rPr>
              <w:t>级服务标准执。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576" w:type="dxa"/>
            <w:noWrap w:val="0"/>
            <w:vAlign w:val="center"/>
          </w:tcPr>
          <w:p>
            <w:pPr>
              <w:snapToGrid w:val="0"/>
              <w:spacing w:line="400" w:lineRule="atLeast"/>
              <w:ind w:left="56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项目负责人</w:t>
            </w:r>
          </w:p>
        </w:tc>
        <w:tc>
          <w:tcPr>
            <w:tcW w:w="6403" w:type="dxa"/>
            <w:noWrap w:val="0"/>
            <w:vAlign w:val="top"/>
          </w:tcPr>
          <w:p>
            <w:pPr>
              <w:snapToGrid w:val="0"/>
              <w:spacing w:line="400" w:lineRule="atLeast"/>
              <w:ind w:left="560"/>
              <w:rPr>
                <w:rFonts w:hint="eastAsia" w:asciiTheme="minorEastAsia" w:hAnsiTheme="minorEastAsia" w:eastAsiaTheme="minorEastAsia" w:cstheme="minorEastAsia"/>
                <w:sz w:val="24"/>
                <w:szCs w:val="24"/>
              </w:rPr>
            </w:pPr>
          </w:p>
        </w:tc>
      </w:tr>
    </w:tbl>
    <w:p>
      <w:pPr>
        <w:rPr>
          <w:rFonts w:hint="eastAsia" w:ascii="仿宋_GB2312" w:eastAsia="仿宋_GB2312" w:cs="仿宋_GB2312"/>
          <w:b/>
          <w:kern w:val="0"/>
          <w:sz w:val="30"/>
          <w:szCs w:val="30"/>
          <w:lang w:val="en-US" w:eastAsia="zh-CN" w:bidi="ar-SA"/>
        </w:rPr>
      </w:pPr>
      <w:bookmarkStart w:id="77" w:name="_Toc17710"/>
      <w:bookmarkStart w:id="78" w:name="_Toc13854_WPSOffice_Level1"/>
    </w:p>
    <w:p>
      <w:pPr>
        <w:ind w:firstLine="1807" w:firstLineChars="600"/>
        <w:rPr>
          <w:rFonts w:hint="eastAsia" w:ascii="仿宋_GB2312" w:eastAsia="仿宋_GB2312" w:cs="仿宋_GB2312"/>
          <w:b/>
          <w:kern w:val="0"/>
          <w:sz w:val="30"/>
          <w:szCs w:val="30"/>
          <w:lang w:val="en-US" w:eastAsia="zh-CN" w:bidi="ar-SA"/>
        </w:rPr>
      </w:pPr>
    </w:p>
    <w:p>
      <w:pPr>
        <w:pStyle w:val="2"/>
        <w:rPr>
          <w:rFonts w:hint="eastAsia" w:ascii="仿宋_GB2312" w:eastAsia="仿宋_GB2312" w:cs="仿宋_GB2312"/>
          <w:b/>
          <w:kern w:val="0"/>
          <w:sz w:val="30"/>
          <w:szCs w:val="30"/>
          <w:lang w:val="en-US" w:eastAsia="zh-CN" w:bidi="ar-SA"/>
        </w:rPr>
      </w:pPr>
    </w:p>
    <w:p>
      <w:pPr>
        <w:pStyle w:val="2"/>
        <w:rPr>
          <w:rFonts w:hint="eastAsia" w:ascii="仿宋_GB2312" w:eastAsia="仿宋_GB2312" w:cs="仿宋_GB2312"/>
          <w:b/>
          <w:kern w:val="0"/>
          <w:sz w:val="30"/>
          <w:szCs w:val="30"/>
          <w:lang w:val="en-US" w:eastAsia="zh-CN" w:bidi="ar-SA"/>
        </w:rPr>
      </w:pPr>
    </w:p>
    <w:p>
      <w:pPr>
        <w:ind w:firstLine="2811" w:firstLineChars="1000"/>
        <w:rPr>
          <w:rFonts w:hint="eastAsia" w:ascii="仿宋_GB2312" w:hAnsi="Times New Roman" w:eastAsia="仿宋_GB2312" w:cs="仿宋_GB2312"/>
          <w:b/>
          <w:kern w:val="0"/>
          <w:sz w:val="28"/>
          <w:szCs w:val="28"/>
          <w:lang w:val="en-US" w:eastAsia="zh-CN" w:bidi="ar-SA"/>
        </w:rPr>
      </w:pPr>
      <w:r>
        <w:rPr>
          <w:rFonts w:hint="eastAsia" w:ascii="仿宋_GB2312" w:eastAsia="仿宋_GB2312" w:cs="仿宋_GB2312"/>
          <w:b/>
          <w:kern w:val="0"/>
          <w:sz w:val="28"/>
          <w:szCs w:val="28"/>
          <w:lang w:val="en-US" w:eastAsia="zh-CN" w:bidi="ar-SA"/>
        </w:rPr>
        <w:t>四</w:t>
      </w:r>
      <w:r>
        <w:rPr>
          <w:rFonts w:hint="eastAsia" w:ascii="仿宋_GB2312" w:hAnsi="Times New Roman" w:eastAsia="仿宋_GB2312" w:cs="仿宋_GB2312"/>
          <w:b/>
          <w:kern w:val="0"/>
          <w:sz w:val="28"/>
          <w:szCs w:val="28"/>
          <w:lang w:val="en-US" w:eastAsia="zh-CN" w:bidi="ar-SA"/>
        </w:rPr>
        <w:t>、</w:t>
      </w:r>
      <w:bookmarkEnd w:id="77"/>
      <w:bookmarkEnd w:id="78"/>
      <w:r>
        <w:rPr>
          <w:rFonts w:hint="eastAsia" w:ascii="仿宋" w:hAnsi="仿宋" w:eastAsia="仿宋" w:cs="仿宋"/>
          <w:b/>
          <w:sz w:val="28"/>
          <w:szCs w:val="28"/>
        </w:rPr>
        <w:t>物业管理服务费分项报价表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6"/>
        <w:gridCol w:w="3007"/>
        <w:gridCol w:w="1280"/>
        <w:gridCol w:w="1155"/>
        <w:gridCol w:w="1365"/>
        <w:gridCol w:w="1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966" w:type="dxa"/>
            <w:noWrap w:val="0"/>
            <w:vAlign w:val="center"/>
          </w:tcPr>
          <w:p>
            <w:pPr>
              <w:spacing w:line="600" w:lineRule="exact"/>
              <w:jc w:val="center"/>
              <w:rPr>
                <w:rFonts w:hint="eastAsia" w:ascii="仿宋" w:hAnsi="仿宋" w:eastAsia="仿宋" w:cs="仿宋"/>
                <w:sz w:val="28"/>
                <w:szCs w:val="28"/>
              </w:rPr>
            </w:pPr>
            <w:r>
              <w:rPr>
                <w:rFonts w:hint="eastAsia" w:ascii="仿宋" w:hAnsi="仿宋" w:eastAsia="仿宋" w:cs="仿宋"/>
                <w:sz w:val="28"/>
                <w:szCs w:val="28"/>
              </w:rPr>
              <w:t>序号</w:t>
            </w:r>
          </w:p>
        </w:tc>
        <w:tc>
          <w:tcPr>
            <w:tcW w:w="3007" w:type="dxa"/>
            <w:noWrap w:val="0"/>
            <w:vAlign w:val="center"/>
          </w:tcPr>
          <w:p>
            <w:pPr>
              <w:spacing w:line="600" w:lineRule="exact"/>
              <w:jc w:val="center"/>
              <w:rPr>
                <w:rFonts w:hint="eastAsia" w:ascii="仿宋" w:hAnsi="仿宋" w:eastAsia="仿宋" w:cs="仿宋"/>
                <w:sz w:val="28"/>
                <w:szCs w:val="28"/>
              </w:rPr>
            </w:pPr>
            <w:r>
              <w:rPr>
                <w:rFonts w:hint="eastAsia" w:ascii="仿宋" w:hAnsi="仿宋" w:eastAsia="仿宋" w:cs="仿宋"/>
                <w:sz w:val="28"/>
                <w:szCs w:val="28"/>
              </w:rPr>
              <w:t>项目名称</w:t>
            </w:r>
          </w:p>
        </w:tc>
        <w:tc>
          <w:tcPr>
            <w:tcW w:w="1280" w:type="dxa"/>
            <w:noWrap w:val="0"/>
            <w:vAlign w:val="center"/>
          </w:tcPr>
          <w:p>
            <w:pPr>
              <w:spacing w:line="600" w:lineRule="exact"/>
              <w:jc w:val="center"/>
              <w:rPr>
                <w:rFonts w:hint="eastAsia" w:ascii="仿宋" w:hAnsi="仿宋" w:eastAsia="仿宋" w:cs="仿宋"/>
                <w:sz w:val="28"/>
                <w:szCs w:val="28"/>
              </w:rPr>
            </w:pPr>
            <w:r>
              <w:rPr>
                <w:rFonts w:hint="eastAsia" w:ascii="仿宋" w:hAnsi="仿宋" w:eastAsia="仿宋" w:cs="仿宋"/>
                <w:sz w:val="28"/>
                <w:szCs w:val="28"/>
              </w:rPr>
              <w:t>单位</w:t>
            </w:r>
          </w:p>
        </w:tc>
        <w:tc>
          <w:tcPr>
            <w:tcW w:w="1155" w:type="dxa"/>
            <w:noWrap w:val="0"/>
            <w:vAlign w:val="center"/>
          </w:tcPr>
          <w:p>
            <w:pPr>
              <w:spacing w:line="600" w:lineRule="exact"/>
              <w:jc w:val="center"/>
              <w:rPr>
                <w:rFonts w:hint="eastAsia" w:ascii="仿宋" w:hAnsi="仿宋" w:eastAsia="仿宋" w:cs="仿宋"/>
                <w:sz w:val="28"/>
                <w:szCs w:val="28"/>
              </w:rPr>
            </w:pPr>
            <w:r>
              <w:rPr>
                <w:rFonts w:hint="eastAsia" w:ascii="仿宋" w:hAnsi="仿宋" w:eastAsia="仿宋" w:cs="仿宋"/>
                <w:sz w:val="28"/>
                <w:szCs w:val="28"/>
              </w:rPr>
              <w:t>数量</w:t>
            </w:r>
          </w:p>
        </w:tc>
        <w:tc>
          <w:tcPr>
            <w:tcW w:w="1365" w:type="dxa"/>
            <w:noWrap w:val="0"/>
            <w:vAlign w:val="center"/>
          </w:tcPr>
          <w:p>
            <w:pPr>
              <w:spacing w:line="600" w:lineRule="exact"/>
              <w:jc w:val="center"/>
              <w:rPr>
                <w:rFonts w:hint="eastAsia" w:ascii="仿宋" w:hAnsi="仿宋" w:eastAsia="仿宋" w:cs="仿宋"/>
                <w:sz w:val="28"/>
                <w:szCs w:val="28"/>
              </w:rPr>
            </w:pPr>
            <w:r>
              <w:rPr>
                <w:rFonts w:hint="eastAsia" w:ascii="仿宋" w:hAnsi="仿宋" w:eastAsia="仿宋" w:cs="仿宋"/>
                <w:sz w:val="28"/>
                <w:szCs w:val="28"/>
              </w:rPr>
              <w:t>单价</w:t>
            </w:r>
          </w:p>
        </w:tc>
        <w:tc>
          <w:tcPr>
            <w:tcW w:w="1995" w:type="dxa"/>
            <w:noWrap w:val="0"/>
            <w:vAlign w:val="center"/>
          </w:tcPr>
          <w:p>
            <w:pPr>
              <w:spacing w:line="600" w:lineRule="exact"/>
              <w:jc w:val="center"/>
              <w:rPr>
                <w:rFonts w:hint="eastAsia" w:ascii="仿宋" w:hAnsi="仿宋" w:eastAsia="仿宋" w:cs="仿宋"/>
                <w:sz w:val="28"/>
                <w:szCs w:val="28"/>
              </w:rPr>
            </w:pPr>
            <w:r>
              <w:rPr>
                <w:rFonts w:hint="eastAsia" w:ascii="仿宋" w:hAnsi="仿宋" w:eastAsia="仿宋" w:cs="仿宋"/>
                <w:sz w:val="28"/>
                <w:szCs w:val="28"/>
              </w:rPr>
              <w:t>小计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966" w:type="dxa"/>
            <w:noWrap w:val="0"/>
            <w:vAlign w:val="center"/>
          </w:tcPr>
          <w:p>
            <w:pPr>
              <w:spacing w:line="600" w:lineRule="exact"/>
              <w:jc w:val="center"/>
              <w:rPr>
                <w:rFonts w:hint="eastAsia" w:ascii="仿宋" w:hAnsi="仿宋" w:eastAsia="仿宋" w:cs="仿宋"/>
                <w:sz w:val="24"/>
              </w:rPr>
            </w:pPr>
          </w:p>
        </w:tc>
        <w:tc>
          <w:tcPr>
            <w:tcW w:w="3007" w:type="dxa"/>
            <w:noWrap w:val="0"/>
            <w:vAlign w:val="center"/>
          </w:tcPr>
          <w:p>
            <w:pPr>
              <w:spacing w:line="600" w:lineRule="exact"/>
              <w:jc w:val="center"/>
              <w:rPr>
                <w:rFonts w:hint="eastAsia" w:ascii="仿宋" w:hAnsi="仿宋" w:eastAsia="仿宋" w:cs="仿宋"/>
                <w:sz w:val="24"/>
              </w:rPr>
            </w:pPr>
          </w:p>
        </w:tc>
        <w:tc>
          <w:tcPr>
            <w:tcW w:w="1280" w:type="dxa"/>
            <w:noWrap w:val="0"/>
            <w:vAlign w:val="center"/>
          </w:tcPr>
          <w:p>
            <w:pPr>
              <w:spacing w:line="600" w:lineRule="exact"/>
              <w:jc w:val="center"/>
              <w:rPr>
                <w:rFonts w:hint="eastAsia" w:ascii="仿宋" w:hAnsi="仿宋" w:eastAsia="仿宋" w:cs="仿宋"/>
                <w:sz w:val="24"/>
              </w:rPr>
            </w:pPr>
          </w:p>
        </w:tc>
        <w:tc>
          <w:tcPr>
            <w:tcW w:w="1155" w:type="dxa"/>
            <w:noWrap w:val="0"/>
            <w:vAlign w:val="center"/>
          </w:tcPr>
          <w:p>
            <w:pPr>
              <w:spacing w:line="600" w:lineRule="exact"/>
              <w:jc w:val="center"/>
              <w:rPr>
                <w:rFonts w:hint="eastAsia" w:ascii="仿宋" w:hAnsi="仿宋" w:eastAsia="仿宋" w:cs="仿宋"/>
                <w:sz w:val="24"/>
              </w:rPr>
            </w:pPr>
          </w:p>
        </w:tc>
        <w:tc>
          <w:tcPr>
            <w:tcW w:w="1365" w:type="dxa"/>
            <w:noWrap w:val="0"/>
            <w:vAlign w:val="center"/>
          </w:tcPr>
          <w:p>
            <w:pPr>
              <w:spacing w:line="600" w:lineRule="exact"/>
              <w:jc w:val="center"/>
              <w:rPr>
                <w:rFonts w:hint="eastAsia" w:ascii="仿宋" w:hAnsi="仿宋" w:eastAsia="仿宋" w:cs="仿宋"/>
                <w:sz w:val="24"/>
              </w:rPr>
            </w:pPr>
          </w:p>
        </w:tc>
        <w:tc>
          <w:tcPr>
            <w:tcW w:w="1995" w:type="dxa"/>
            <w:noWrap w:val="0"/>
            <w:vAlign w:val="center"/>
          </w:tcPr>
          <w:p>
            <w:pPr>
              <w:spacing w:line="600" w:lineRule="exact"/>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966" w:type="dxa"/>
            <w:noWrap w:val="0"/>
            <w:vAlign w:val="center"/>
          </w:tcPr>
          <w:p>
            <w:pPr>
              <w:spacing w:line="600" w:lineRule="exact"/>
              <w:jc w:val="center"/>
              <w:rPr>
                <w:rFonts w:hint="eastAsia" w:ascii="仿宋" w:hAnsi="仿宋" w:eastAsia="仿宋" w:cs="仿宋"/>
                <w:sz w:val="24"/>
              </w:rPr>
            </w:pPr>
          </w:p>
        </w:tc>
        <w:tc>
          <w:tcPr>
            <w:tcW w:w="3007" w:type="dxa"/>
            <w:noWrap w:val="0"/>
            <w:vAlign w:val="center"/>
          </w:tcPr>
          <w:p>
            <w:pPr>
              <w:spacing w:line="600" w:lineRule="exact"/>
              <w:jc w:val="center"/>
              <w:rPr>
                <w:rFonts w:hint="eastAsia" w:ascii="仿宋" w:hAnsi="仿宋" w:eastAsia="仿宋" w:cs="仿宋"/>
                <w:sz w:val="24"/>
              </w:rPr>
            </w:pPr>
          </w:p>
        </w:tc>
        <w:tc>
          <w:tcPr>
            <w:tcW w:w="1280" w:type="dxa"/>
            <w:noWrap w:val="0"/>
            <w:vAlign w:val="center"/>
          </w:tcPr>
          <w:p>
            <w:pPr>
              <w:spacing w:line="600" w:lineRule="exact"/>
              <w:jc w:val="center"/>
              <w:rPr>
                <w:rFonts w:hint="eastAsia" w:ascii="仿宋" w:hAnsi="仿宋" w:eastAsia="仿宋" w:cs="仿宋"/>
                <w:sz w:val="24"/>
              </w:rPr>
            </w:pPr>
          </w:p>
        </w:tc>
        <w:tc>
          <w:tcPr>
            <w:tcW w:w="1155" w:type="dxa"/>
            <w:noWrap w:val="0"/>
            <w:vAlign w:val="center"/>
          </w:tcPr>
          <w:p>
            <w:pPr>
              <w:spacing w:line="600" w:lineRule="exact"/>
              <w:jc w:val="center"/>
              <w:rPr>
                <w:rFonts w:hint="eastAsia" w:ascii="仿宋" w:hAnsi="仿宋" w:eastAsia="仿宋" w:cs="仿宋"/>
                <w:sz w:val="24"/>
              </w:rPr>
            </w:pPr>
          </w:p>
        </w:tc>
        <w:tc>
          <w:tcPr>
            <w:tcW w:w="1365" w:type="dxa"/>
            <w:noWrap w:val="0"/>
            <w:vAlign w:val="center"/>
          </w:tcPr>
          <w:p>
            <w:pPr>
              <w:spacing w:line="600" w:lineRule="exact"/>
              <w:jc w:val="center"/>
              <w:rPr>
                <w:rFonts w:hint="eastAsia" w:ascii="仿宋" w:hAnsi="仿宋" w:eastAsia="仿宋" w:cs="仿宋"/>
                <w:sz w:val="24"/>
              </w:rPr>
            </w:pPr>
          </w:p>
        </w:tc>
        <w:tc>
          <w:tcPr>
            <w:tcW w:w="1995" w:type="dxa"/>
            <w:noWrap w:val="0"/>
            <w:vAlign w:val="center"/>
          </w:tcPr>
          <w:p>
            <w:pPr>
              <w:spacing w:line="600" w:lineRule="exact"/>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966" w:type="dxa"/>
            <w:noWrap w:val="0"/>
            <w:vAlign w:val="center"/>
          </w:tcPr>
          <w:p>
            <w:pPr>
              <w:spacing w:line="600" w:lineRule="exact"/>
              <w:jc w:val="center"/>
              <w:rPr>
                <w:rFonts w:hint="eastAsia" w:ascii="仿宋" w:hAnsi="仿宋" w:eastAsia="仿宋" w:cs="仿宋"/>
                <w:sz w:val="24"/>
              </w:rPr>
            </w:pPr>
          </w:p>
        </w:tc>
        <w:tc>
          <w:tcPr>
            <w:tcW w:w="3007" w:type="dxa"/>
            <w:noWrap w:val="0"/>
            <w:vAlign w:val="center"/>
          </w:tcPr>
          <w:p>
            <w:pPr>
              <w:spacing w:line="600" w:lineRule="exact"/>
              <w:jc w:val="center"/>
              <w:rPr>
                <w:rFonts w:hint="eastAsia" w:ascii="仿宋" w:hAnsi="仿宋" w:eastAsia="仿宋" w:cs="仿宋"/>
                <w:sz w:val="24"/>
              </w:rPr>
            </w:pPr>
          </w:p>
        </w:tc>
        <w:tc>
          <w:tcPr>
            <w:tcW w:w="1280" w:type="dxa"/>
            <w:noWrap w:val="0"/>
            <w:vAlign w:val="center"/>
          </w:tcPr>
          <w:p>
            <w:pPr>
              <w:spacing w:line="600" w:lineRule="exact"/>
              <w:jc w:val="center"/>
              <w:rPr>
                <w:rFonts w:hint="eastAsia" w:ascii="仿宋" w:hAnsi="仿宋" w:eastAsia="仿宋" w:cs="仿宋"/>
                <w:sz w:val="24"/>
              </w:rPr>
            </w:pPr>
          </w:p>
        </w:tc>
        <w:tc>
          <w:tcPr>
            <w:tcW w:w="1155" w:type="dxa"/>
            <w:noWrap w:val="0"/>
            <w:vAlign w:val="center"/>
          </w:tcPr>
          <w:p>
            <w:pPr>
              <w:spacing w:line="600" w:lineRule="exact"/>
              <w:jc w:val="center"/>
              <w:rPr>
                <w:rFonts w:hint="eastAsia" w:ascii="仿宋" w:hAnsi="仿宋" w:eastAsia="仿宋" w:cs="仿宋"/>
                <w:sz w:val="24"/>
              </w:rPr>
            </w:pPr>
          </w:p>
        </w:tc>
        <w:tc>
          <w:tcPr>
            <w:tcW w:w="1365" w:type="dxa"/>
            <w:noWrap w:val="0"/>
            <w:vAlign w:val="center"/>
          </w:tcPr>
          <w:p>
            <w:pPr>
              <w:spacing w:line="600" w:lineRule="exact"/>
              <w:jc w:val="center"/>
              <w:rPr>
                <w:rFonts w:hint="eastAsia" w:ascii="仿宋" w:hAnsi="仿宋" w:eastAsia="仿宋" w:cs="仿宋"/>
                <w:sz w:val="24"/>
              </w:rPr>
            </w:pPr>
          </w:p>
        </w:tc>
        <w:tc>
          <w:tcPr>
            <w:tcW w:w="1995" w:type="dxa"/>
            <w:noWrap w:val="0"/>
            <w:vAlign w:val="center"/>
          </w:tcPr>
          <w:p>
            <w:pPr>
              <w:spacing w:line="600" w:lineRule="exact"/>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966" w:type="dxa"/>
            <w:noWrap w:val="0"/>
            <w:vAlign w:val="center"/>
          </w:tcPr>
          <w:p>
            <w:pPr>
              <w:spacing w:line="600" w:lineRule="exact"/>
              <w:jc w:val="center"/>
              <w:rPr>
                <w:rFonts w:hint="eastAsia" w:ascii="仿宋" w:hAnsi="仿宋" w:eastAsia="仿宋" w:cs="仿宋"/>
                <w:sz w:val="24"/>
              </w:rPr>
            </w:pPr>
          </w:p>
        </w:tc>
        <w:tc>
          <w:tcPr>
            <w:tcW w:w="3007" w:type="dxa"/>
            <w:noWrap w:val="0"/>
            <w:vAlign w:val="center"/>
          </w:tcPr>
          <w:p>
            <w:pPr>
              <w:spacing w:line="600" w:lineRule="exact"/>
              <w:jc w:val="center"/>
              <w:rPr>
                <w:rFonts w:hint="eastAsia" w:ascii="仿宋" w:hAnsi="仿宋" w:eastAsia="仿宋" w:cs="仿宋"/>
                <w:sz w:val="24"/>
              </w:rPr>
            </w:pPr>
          </w:p>
        </w:tc>
        <w:tc>
          <w:tcPr>
            <w:tcW w:w="1280" w:type="dxa"/>
            <w:noWrap w:val="0"/>
            <w:vAlign w:val="center"/>
          </w:tcPr>
          <w:p>
            <w:pPr>
              <w:spacing w:line="600" w:lineRule="exact"/>
              <w:jc w:val="center"/>
              <w:rPr>
                <w:rFonts w:hint="eastAsia" w:ascii="仿宋" w:hAnsi="仿宋" w:eastAsia="仿宋" w:cs="仿宋"/>
                <w:sz w:val="24"/>
              </w:rPr>
            </w:pPr>
          </w:p>
        </w:tc>
        <w:tc>
          <w:tcPr>
            <w:tcW w:w="1155" w:type="dxa"/>
            <w:noWrap w:val="0"/>
            <w:vAlign w:val="center"/>
          </w:tcPr>
          <w:p>
            <w:pPr>
              <w:spacing w:line="600" w:lineRule="exact"/>
              <w:jc w:val="center"/>
              <w:rPr>
                <w:rFonts w:hint="eastAsia" w:ascii="仿宋" w:hAnsi="仿宋" w:eastAsia="仿宋" w:cs="仿宋"/>
                <w:sz w:val="24"/>
              </w:rPr>
            </w:pPr>
          </w:p>
        </w:tc>
        <w:tc>
          <w:tcPr>
            <w:tcW w:w="1365" w:type="dxa"/>
            <w:noWrap w:val="0"/>
            <w:vAlign w:val="center"/>
          </w:tcPr>
          <w:p>
            <w:pPr>
              <w:spacing w:line="600" w:lineRule="exact"/>
              <w:jc w:val="center"/>
              <w:rPr>
                <w:rFonts w:hint="eastAsia" w:ascii="仿宋" w:hAnsi="仿宋" w:eastAsia="仿宋" w:cs="仿宋"/>
                <w:sz w:val="24"/>
              </w:rPr>
            </w:pPr>
          </w:p>
        </w:tc>
        <w:tc>
          <w:tcPr>
            <w:tcW w:w="1995" w:type="dxa"/>
            <w:noWrap w:val="0"/>
            <w:vAlign w:val="center"/>
          </w:tcPr>
          <w:p>
            <w:pPr>
              <w:spacing w:line="600" w:lineRule="exact"/>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966" w:type="dxa"/>
            <w:noWrap w:val="0"/>
            <w:vAlign w:val="center"/>
          </w:tcPr>
          <w:p>
            <w:pPr>
              <w:spacing w:line="600" w:lineRule="exact"/>
              <w:jc w:val="center"/>
              <w:rPr>
                <w:rFonts w:hint="eastAsia" w:ascii="仿宋" w:hAnsi="仿宋" w:eastAsia="仿宋" w:cs="仿宋"/>
                <w:sz w:val="24"/>
              </w:rPr>
            </w:pPr>
          </w:p>
        </w:tc>
        <w:tc>
          <w:tcPr>
            <w:tcW w:w="3007" w:type="dxa"/>
            <w:noWrap w:val="0"/>
            <w:vAlign w:val="center"/>
          </w:tcPr>
          <w:p>
            <w:pPr>
              <w:spacing w:line="600" w:lineRule="exact"/>
              <w:jc w:val="center"/>
              <w:rPr>
                <w:rFonts w:hint="eastAsia" w:ascii="仿宋" w:hAnsi="仿宋" w:eastAsia="仿宋" w:cs="仿宋"/>
                <w:sz w:val="24"/>
              </w:rPr>
            </w:pPr>
          </w:p>
        </w:tc>
        <w:tc>
          <w:tcPr>
            <w:tcW w:w="1280" w:type="dxa"/>
            <w:noWrap w:val="0"/>
            <w:vAlign w:val="center"/>
          </w:tcPr>
          <w:p>
            <w:pPr>
              <w:spacing w:line="600" w:lineRule="exact"/>
              <w:jc w:val="center"/>
              <w:rPr>
                <w:rFonts w:hint="eastAsia" w:ascii="仿宋" w:hAnsi="仿宋" w:eastAsia="仿宋" w:cs="仿宋"/>
                <w:sz w:val="24"/>
              </w:rPr>
            </w:pPr>
          </w:p>
        </w:tc>
        <w:tc>
          <w:tcPr>
            <w:tcW w:w="1155" w:type="dxa"/>
            <w:noWrap w:val="0"/>
            <w:vAlign w:val="center"/>
          </w:tcPr>
          <w:p>
            <w:pPr>
              <w:spacing w:line="600" w:lineRule="exact"/>
              <w:jc w:val="center"/>
              <w:rPr>
                <w:rFonts w:hint="eastAsia" w:ascii="仿宋" w:hAnsi="仿宋" w:eastAsia="仿宋" w:cs="仿宋"/>
                <w:sz w:val="24"/>
              </w:rPr>
            </w:pPr>
          </w:p>
        </w:tc>
        <w:tc>
          <w:tcPr>
            <w:tcW w:w="1365" w:type="dxa"/>
            <w:noWrap w:val="0"/>
            <w:vAlign w:val="center"/>
          </w:tcPr>
          <w:p>
            <w:pPr>
              <w:spacing w:line="600" w:lineRule="exact"/>
              <w:jc w:val="center"/>
              <w:rPr>
                <w:rFonts w:hint="eastAsia" w:ascii="仿宋" w:hAnsi="仿宋" w:eastAsia="仿宋" w:cs="仿宋"/>
                <w:sz w:val="24"/>
              </w:rPr>
            </w:pPr>
          </w:p>
        </w:tc>
        <w:tc>
          <w:tcPr>
            <w:tcW w:w="1995" w:type="dxa"/>
            <w:noWrap w:val="0"/>
            <w:vAlign w:val="center"/>
          </w:tcPr>
          <w:p>
            <w:pPr>
              <w:spacing w:line="600" w:lineRule="exact"/>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966" w:type="dxa"/>
            <w:noWrap w:val="0"/>
            <w:vAlign w:val="center"/>
          </w:tcPr>
          <w:p>
            <w:pPr>
              <w:spacing w:line="600" w:lineRule="exact"/>
              <w:jc w:val="center"/>
              <w:rPr>
                <w:rFonts w:hint="eastAsia" w:ascii="仿宋" w:hAnsi="仿宋" w:eastAsia="仿宋" w:cs="仿宋"/>
                <w:sz w:val="24"/>
              </w:rPr>
            </w:pPr>
          </w:p>
        </w:tc>
        <w:tc>
          <w:tcPr>
            <w:tcW w:w="3007" w:type="dxa"/>
            <w:noWrap w:val="0"/>
            <w:vAlign w:val="center"/>
          </w:tcPr>
          <w:p>
            <w:pPr>
              <w:spacing w:line="600" w:lineRule="exact"/>
              <w:jc w:val="center"/>
              <w:rPr>
                <w:rFonts w:hint="eastAsia" w:ascii="仿宋" w:hAnsi="仿宋" w:eastAsia="仿宋" w:cs="仿宋"/>
                <w:sz w:val="24"/>
              </w:rPr>
            </w:pPr>
          </w:p>
        </w:tc>
        <w:tc>
          <w:tcPr>
            <w:tcW w:w="1280" w:type="dxa"/>
            <w:noWrap w:val="0"/>
            <w:vAlign w:val="center"/>
          </w:tcPr>
          <w:p>
            <w:pPr>
              <w:spacing w:line="600" w:lineRule="exact"/>
              <w:jc w:val="center"/>
              <w:rPr>
                <w:rFonts w:hint="eastAsia" w:ascii="仿宋" w:hAnsi="仿宋" w:eastAsia="仿宋" w:cs="仿宋"/>
                <w:sz w:val="24"/>
              </w:rPr>
            </w:pPr>
          </w:p>
        </w:tc>
        <w:tc>
          <w:tcPr>
            <w:tcW w:w="1155" w:type="dxa"/>
            <w:noWrap w:val="0"/>
            <w:vAlign w:val="center"/>
          </w:tcPr>
          <w:p>
            <w:pPr>
              <w:spacing w:line="600" w:lineRule="exact"/>
              <w:jc w:val="center"/>
              <w:rPr>
                <w:rFonts w:hint="eastAsia" w:ascii="仿宋" w:hAnsi="仿宋" w:eastAsia="仿宋" w:cs="仿宋"/>
                <w:sz w:val="24"/>
              </w:rPr>
            </w:pPr>
          </w:p>
        </w:tc>
        <w:tc>
          <w:tcPr>
            <w:tcW w:w="1365" w:type="dxa"/>
            <w:noWrap w:val="0"/>
            <w:vAlign w:val="center"/>
          </w:tcPr>
          <w:p>
            <w:pPr>
              <w:spacing w:line="600" w:lineRule="exact"/>
              <w:jc w:val="center"/>
              <w:rPr>
                <w:rFonts w:hint="eastAsia" w:ascii="仿宋" w:hAnsi="仿宋" w:eastAsia="仿宋" w:cs="仿宋"/>
                <w:sz w:val="24"/>
              </w:rPr>
            </w:pPr>
          </w:p>
        </w:tc>
        <w:tc>
          <w:tcPr>
            <w:tcW w:w="1995" w:type="dxa"/>
            <w:noWrap w:val="0"/>
            <w:vAlign w:val="center"/>
          </w:tcPr>
          <w:p>
            <w:pPr>
              <w:spacing w:line="600" w:lineRule="exact"/>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966" w:type="dxa"/>
            <w:noWrap w:val="0"/>
            <w:vAlign w:val="center"/>
          </w:tcPr>
          <w:p>
            <w:pPr>
              <w:spacing w:line="600" w:lineRule="exact"/>
              <w:jc w:val="center"/>
              <w:rPr>
                <w:rFonts w:hint="eastAsia" w:ascii="仿宋" w:hAnsi="仿宋" w:eastAsia="仿宋" w:cs="仿宋"/>
                <w:sz w:val="24"/>
              </w:rPr>
            </w:pPr>
          </w:p>
        </w:tc>
        <w:tc>
          <w:tcPr>
            <w:tcW w:w="3007" w:type="dxa"/>
            <w:noWrap w:val="0"/>
            <w:vAlign w:val="center"/>
          </w:tcPr>
          <w:p>
            <w:pPr>
              <w:spacing w:line="600" w:lineRule="exact"/>
              <w:jc w:val="center"/>
              <w:rPr>
                <w:rFonts w:hint="eastAsia" w:ascii="仿宋" w:hAnsi="仿宋" w:eastAsia="仿宋" w:cs="仿宋"/>
                <w:sz w:val="24"/>
              </w:rPr>
            </w:pPr>
          </w:p>
        </w:tc>
        <w:tc>
          <w:tcPr>
            <w:tcW w:w="1280" w:type="dxa"/>
            <w:noWrap w:val="0"/>
            <w:vAlign w:val="center"/>
          </w:tcPr>
          <w:p>
            <w:pPr>
              <w:spacing w:line="600" w:lineRule="exact"/>
              <w:jc w:val="center"/>
              <w:rPr>
                <w:rFonts w:hint="eastAsia" w:ascii="仿宋" w:hAnsi="仿宋" w:eastAsia="仿宋" w:cs="仿宋"/>
                <w:sz w:val="24"/>
              </w:rPr>
            </w:pPr>
          </w:p>
        </w:tc>
        <w:tc>
          <w:tcPr>
            <w:tcW w:w="1155" w:type="dxa"/>
            <w:noWrap w:val="0"/>
            <w:vAlign w:val="center"/>
          </w:tcPr>
          <w:p>
            <w:pPr>
              <w:spacing w:line="600" w:lineRule="exact"/>
              <w:jc w:val="center"/>
              <w:rPr>
                <w:rFonts w:hint="eastAsia" w:ascii="仿宋" w:hAnsi="仿宋" w:eastAsia="仿宋" w:cs="仿宋"/>
                <w:sz w:val="24"/>
              </w:rPr>
            </w:pPr>
          </w:p>
        </w:tc>
        <w:tc>
          <w:tcPr>
            <w:tcW w:w="1365" w:type="dxa"/>
            <w:noWrap w:val="0"/>
            <w:vAlign w:val="center"/>
          </w:tcPr>
          <w:p>
            <w:pPr>
              <w:spacing w:line="600" w:lineRule="exact"/>
              <w:jc w:val="center"/>
              <w:rPr>
                <w:rFonts w:hint="eastAsia" w:ascii="仿宋" w:hAnsi="仿宋" w:eastAsia="仿宋" w:cs="仿宋"/>
                <w:sz w:val="24"/>
              </w:rPr>
            </w:pPr>
          </w:p>
        </w:tc>
        <w:tc>
          <w:tcPr>
            <w:tcW w:w="1995" w:type="dxa"/>
            <w:noWrap w:val="0"/>
            <w:vAlign w:val="center"/>
          </w:tcPr>
          <w:p>
            <w:pPr>
              <w:spacing w:line="600" w:lineRule="exact"/>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966" w:type="dxa"/>
            <w:noWrap w:val="0"/>
            <w:vAlign w:val="center"/>
          </w:tcPr>
          <w:p>
            <w:pPr>
              <w:spacing w:line="600" w:lineRule="exact"/>
              <w:jc w:val="center"/>
              <w:rPr>
                <w:rFonts w:hint="eastAsia" w:ascii="仿宋" w:hAnsi="仿宋" w:eastAsia="仿宋" w:cs="仿宋"/>
                <w:sz w:val="24"/>
              </w:rPr>
            </w:pPr>
          </w:p>
        </w:tc>
        <w:tc>
          <w:tcPr>
            <w:tcW w:w="3007" w:type="dxa"/>
            <w:noWrap w:val="0"/>
            <w:vAlign w:val="center"/>
          </w:tcPr>
          <w:p>
            <w:pPr>
              <w:spacing w:line="600" w:lineRule="exact"/>
              <w:jc w:val="center"/>
              <w:rPr>
                <w:rFonts w:hint="eastAsia" w:ascii="仿宋" w:hAnsi="仿宋" w:eastAsia="仿宋" w:cs="仿宋"/>
                <w:sz w:val="24"/>
              </w:rPr>
            </w:pPr>
          </w:p>
        </w:tc>
        <w:tc>
          <w:tcPr>
            <w:tcW w:w="1280" w:type="dxa"/>
            <w:noWrap w:val="0"/>
            <w:vAlign w:val="center"/>
          </w:tcPr>
          <w:p>
            <w:pPr>
              <w:spacing w:line="600" w:lineRule="exact"/>
              <w:jc w:val="center"/>
              <w:rPr>
                <w:rFonts w:hint="eastAsia" w:ascii="仿宋" w:hAnsi="仿宋" w:eastAsia="仿宋" w:cs="仿宋"/>
                <w:sz w:val="24"/>
              </w:rPr>
            </w:pPr>
          </w:p>
        </w:tc>
        <w:tc>
          <w:tcPr>
            <w:tcW w:w="1155" w:type="dxa"/>
            <w:noWrap w:val="0"/>
            <w:vAlign w:val="center"/>
          </w:tcPr>
          <w:p>
            <w:pPr>
              <w:spacing w:line="600" w:lineRule="exact"/>
              <w:jc w:val="center"/>
              <w:rPr>
                <w:rFonts w:hint="eastAsia" w:ascii="仿宋" w:hAnsi="仿宋" w:eastAsia="仿宋" w:cs="仿宋"/>
                <w:sz w:val="24"/>
              </w:rPr>
            </w:pPr>
          </w:p>
        </w:tc>
        <w:tc>
          <w:tcPr>
            <w:tcW w:w="1365" w:type="dxa"/>
            <w:noWrap w:val="0"/>
            <w:vAlign w:val="center"/>
          </w:tcPr>
          <w:p>
            <w:pPr>
              <w:spacing w:line="600" w:lineRule="exact"/>
              <w:jc w:val="center"/>
              <w:rPr>
                <w:rFonts w:hint="eastAsia" w:ascii="仿宋" w:hAnsi="仿宋" w:eastAsia="仿宋" w:cs="仿宋"/>
                <w:sz w:val="24"/>
              </w:rPr>
            </w:pPr>
          </w:p>
        </w:tc>
        <w:tc>
          <w:tcPr>
            <w:tcW w:w="1995" w:type="dxa"/>
            <w:noWrap w:val="0"/>
            <w:vAlign w:val="center"/>
          </w:tcPr>
          <w:p>
            <w:pPr>
              <w:spacing w:line="600" w:lineRule="exact"/>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966" w:type="dxa"/>
            <w:noWrap w:val="0"/>
            <w:vAlign w:val="center"/>
          </w:tcPr>
          <w:p>
            <w:pPr>
              <w:spacing w:line="600" w:lineRule="exact"/>
              <w:jc w:val="center"/>
              <w:rPr>
                <w:rFonts w:hint="eastAsia" w:ascii="仿宋" w:hAnsi="仿宋" w:eastAsia="仿宋" w:cs="仿宋"/>
                <w:sz w:val="24"/>
              </w:rPr>
            </w:pPr>
          </w:p>
        </w:tc>
        <w:tc>
          <w:tcPr>
            <w:tcW w:w="3007" w:type="dxa"/>
            <w:noWrap w:val="0"/>
            <w:vAlign w:val="center"/>
          </w:tcPr>
          <w:p>
            <w:pPr>
              <w:spacing w:line="600" w:lineRule="exact"/>
              <w:jc w:val="center"/>
              <w:rPr>
                <w:rFonts w:hint="eastAsia" w:ascii="仿宋" w:hAnsi="仿宋" w:eastAsia="仿宋" w:cs="仿宋"/>
                <w:sz w:val="24"/>
              </w:rPr>
            </w:pPr>
          </w:p>
        </w:tc>
        <w:tc>
          <w:tcPr>
            <w:tcW w:w="1280" w:type="dxa"/>
            <w:noWrap w:val="0"/>
            <w:vAlign w:val="center"/>
          </w:tcPr>
          <w:p>
            <w:pPr>
              <w:spacing w:line="600" w:lineRule="exact"/>
              <w:jc w:val="center"/>
              <w:rPr>
                <w:rFonts w:hint="eastAsia" w:ascii="仿宋" w:hAnsi="仿宋" w:eastAsia="仿宋" w:cs="仿宋"/>
                <w:sz w:val="24"/>
              </w:rPr>
            </w:pPr>
          </w:p>
        </w:tc>
        <w:tc>
          <w:tcPr>
            <w:tcW w:w="1155" w:type="dxa"/>
            <w:noWrap w:val="0"/>
            <w:vAlign w:val="center"/>
          </w:tcPr>
          <w:p>
            <w:pPr>
              <w:spacing w:line="600" w:lineRule="exact"/>
              <w:jc w:val="center"/>
              <w:rPr>
                <w:rFonts w:hint="eastAsia" w:ascii="仿宋" w:hAnsi="仿宋" w:eastAsia="仿宋" w:cs="仿宋"/>
                <w:sz w:val="24"/>
              </w:rPr>
            </w:pPr>
          </w:p>
        </w:tc>
        <w:tc>
          <w:tcPr>
            <w:tcW w:w="1365" w:type="dxa"/>
            <w:noWrap w:val="0"/>
            <w:vAlign w:val="center"/>
          </w:tcPr>
          <w:p>
            <w:pPr>
              <w:spacing w:line="600" w:lineRule="exact"/>
              <w:jc w:val="center"/>
              <w:rPr>
                <w:rFonts w:hint="eastAsia" w:ascii="仿宋" w:hAnsi="仿宋" w:eastAsia="仿宋" w:cs="仿宋"/>
                <w:sz w:val="24"/>
              </w:rPr>
            </w:pPr>
          </w:p>
        </w:tc>
        <w:tc>
          <w:tcPr>
            <w:tcW w:w="1995" w:type="dxa"/>
            <w:noWrap w:val="0"/>
            <w:vAlign w:val="center"/>
          </w:tcPr>
          <w:p>
            <w:pPr>
              <w:spacing w:line="600" w:lineRule="exact"/>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966" w:type="dxa"/>
            <w:noWrap w:val="0"/>
            <w:vAlign w:val="center"/>
          </w:tcPr>
          <w:p>
            <w:pPr>
              <w:spacing w:line="600" w:lineRule="exact"/>
              <w:jc w:val="center"/>
              <w:rPr>
                <w:rFonts w:hint="eastAsia" w:ascii="仿宋" w:hAnsi="仿宋" w:eastAsia="仿宋" w:cs="仿宋"/>
                <w:sz w:val="24"/>
              </w:rPr>
            </w:pPr>
          </w:p>
        </w:tc>
        <w:tc>
          <w:tcPr>
            <w:tcW w:w="3007" w:type="dxa"/>
            <w:noWrap w:val="0"/>
            <w:vAlign w:val="center"/>
          </w:tcPr>
          <w:p>
            <w:pPr>
              <w:spacing w:line="600" w:lineRule="exact"/>
              <w:jc w:val="center"/>
              <w:rPr>
                <w:rFonts w:hint="eastAsia" w:ascii="仿宋" w:hAnsi="仿宋" w:eastAsia="仿宋" w:cs="仿宋"/>
                <w:sz w:val="24"/>
              </w:rPr>
            </w:pPr>
          </w:p>
        </w:tc>
        <w:tc>
          <w:tcPr>
            <w:tcW w:w="1280" w:type="dxa"/>
            <w:noWrap w:val="0"/>
            <w:vAlign w:val="center"/>
          </w:tcPr>
          <w:p>
            <w:pPr>
              <w:spacing w:line="600" w:lineRule="exact"/>
              <w:jc w:val="center"/>
              <w:rPr>
                <w:rFonts w:hint="eastAsia" w:ascii="仿宋" w:hAnsi="仿宋" w:eastAsia="仿宋" w:cs="仿宋"/>
                <w:sz w:val="24"/>
              </w:rPr>
            </w:pPr>
          </w:p>
        </w:tc>
        <w:tc>
          <w:tcPr>
            <w:tcW w:w="1155" w:type="dxa"/>
            <w:noWrap w:val="0"/>
            <w:vAlign w:val="center"/>
          </w:tcPr>
          <w:p>
            <w:pPr>
              <w:spacing w:line="600" w:lineRule="exact"/>
              <w:jc w:val="center"/>
              <w:rPr>
                <w:rFonts w:hint="eastAsia" w:ascii="仿宋" w:hAnsi="仿宋" w:eastAsia="仿宋" w:cs="仿宋"/>
                <w:sz w:val="24"/>
              </w:rPr>
            </w:pPr>
          </w:p>
        </w:tc>
        <w:tc>
          <w:tcPr>
            <w:tcW w:w="1365" w:type="dxa"/>
            <w:noWrap w:val="0"/>
            <w:vAlign w:val="center"/>
          </w:tcPr>
          <w:p>
            <w:pPr>
              <w:spacing w:line="600" w:lineRule="exact"/>
              <w:jc w:val="center"/>
              <w:rPr>
                <w:rFonts w:hint="eastAsia" w:ascii="仿宋" w:hAnsi="仿宋" w:eastAsia="仿宋" w:cs="仿宋"/>
                <w:sz w:val="24"/>
              </w:rPr>
            </w:pPr>
          </w:p>
        </w:tc>
        <w:tc>
          <w:tcPr>
            <w:tcW w:w="1995" w:type="dxa"/>
            <w:noWrap w:val="0"/>
            <w:vAlign w:val="center"/>
          </w:tcPr>
          <w:p>
            <w:pPr>
              <w:spacing w:line="600" w:lineRule="exact"/>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966" w:type="dxa"/>
            <w:noWrap w:val="0"/>
            <w:vAlign w:val="center"/>
          </w:tcPr>
          <w:p>
            <w:pPr>
              <w:spacing w:line="600" w:lineRule="exact"/>
              <w:jc w:val="center"/>
              <w:rPr>
                <w:rFonts w:hint="eastAsia" w:ascii="仿宋" w:hAnsi="仿宋" w:eastAsia="仿宋" w:cs="仿宋"/>
                <w:sz w:val="24"/>
              </w:rPr>
            </w:pPr>
          </w:p>
        </w:tc>
        <w:tc>
          <w:tcPr>
            <w:tcW w:w="3007" w:type="dxa"/>
            <w:noWrap w:val="0"/>
            <w:vAlign w:val="center"/>
          </w:tcPr>
          <w:p>
            <w:pPr>
              <w:spacing w:line="600" w:lineRule="exact"/>
              <w:jc w:val="center"/>
              <w:rPr>
                <w:rFonts w:hint="eastAsia" w:ascii="仿宋" w:hAnsi="仿宋" w:eastAsia="仿宋" w:cs="仿宋"/>
                <w:sz w:val="24"/>
              </w:rPr>
            </w:pPr>
          </w:p>
        </w:tc>
        <w:tc>
          <w:tcPr>
            <w:tcW w:w="1280" w:type="dxa"/>
            <w:noWrap w:val="0"/>
            <w:vAlign w:val="center"/>
          </w:tcPr>
          <w:p>
            <w:pPr>
              <w:spacing w:line="600" w:lineRule="exact"/>
              <w:jc w:val="center"/>
              <w:rPr>
                <w:rFonts w:hint="eastAsia" w:ascii="仿宋" w:hAnsi="仿宋" w:eastAsia="仿宋" w:cs="仿宋"/>
                <w:sz w:val="24"/>
              </w:rPr>
            </w:pPr>
          </w:p>
        </w:tc>
        <w:tc>
          <w:tcPr>
            <w:tcW w:w="1155" w:type="dxa"/>
            <w:noWrap w:val="0"/>
            <w:vAlign w:val="center"/>
          </w:tcPr>
          <w:p>
            <w:pPr>
              <w:spacing w:line="600" w:lineRule="exact"/>
              <w:jc w:val="center"/>
              <w:rPr>
                <w:rFonts w:hint="eastAsia" w:ascii="仿宋" w:hAnsi="仿宋" w:eastAsia="仿宋" w:cs="仿宋"/>
                <w:sz w:val="24"/>
              </w:rPr>
            </w:pPr>
          </w:p>
        </w:tc>
        <w:tc>
          <w:tcPr>
            <w:tcW w:w="1365" w:type="dxa"/>
            <w:noWrap w:val="0"/>
            <w:vAlign w:val="center"/>
          </w:tcPr>
          <w:p>
            <w:pPr>
              <w:spacing w:line="600" w:lineRule="exact"/>
              <w:jc w:val="center"/>
              <w:rPr>
                <w:rFonts w:hint="eastAsia" w:ascii="仿宋" w:hAnsi="仿宋" w:eastAsia="仿宋" w:cs="仿宋"/>
                <w:sz w:val="24"/>
              </w:rPr>
            </w:pPr>
          </w:p>
        </w:tc>
        <w:tc>
          <w:tcPr>
            <w:tcW w:w="1995" w:type="dxa"/>
            <w:noWrap w:val="0"/>
            <w:vAlign w:val="center"/>
          </w:tcPr>
          <w:p>
            <w:pPr>
              <w:spacing w:line="600" w:lineRule="exact"/>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966" w:type="dxa"/>
            <w:noWrap w:val="0"/>
            <w:vAlign w:val="center"/>
          </w:tcPr>
          <w:p>
            <w:pPr>
              <w:spacing w:line="600" w:lineRule="exact"/>
              <w:jc w:val="center"/>
              <w:rPr>
                <w:rFonts w:hint="eastAsia" w:ascii="仿宋" w:hAnsi="仿宋" w:eastAsia="仿宋" w:cs="仿宋"/>
                <w:sz w:val="24"/>
              </w:rPr>
            </w:pPr>
          </w:p>
        </w:tc>
        <w:tc>
          <w:tcPr>
            <w:tcW w:w="3007" w:type="dxa"/>
            <w:noWrap w:val="0"/>
            <w:vAlign w:val="center"/>
          </w:tcPr>
          <w:p>
            <w:pPr>
              <w:spacing w:line="600" w:lineRule="exact"/>
              <w:jc w:val="center"/>
              <w:rPr>
                <w:rFonts w:hint="eastAsia" w:ascii="仿宋" w:hAnsi="仿宋" w:eastAsia="仿宋" w:cs="仿宋"/>
                <w:sz w:val="24"/>
              </w:rPr>
            </w:pPr>
          </w:p>
        </w:tc>
        <w:tc>
          <w:tcPr>
            <w:tcW w:w="1280" w:type="dxa"/>
            <w:noWrap w:val="0"/>
            <w:vAlign w:val="center"/>
          </w:tcPr>
          <w:p>
            <w:pPr>
              <w:spacing w:line="600" w:lineRule="exact"/>
              <w:jc w:val="center"/>
              <w:rPr>
                <w:rFonts w:hint="eastAsia" w:ascii="仿宋" w:hAnsi="仿宋" w:eastAsia="仿宋" w:cs="仿宋"/>
                <w:sz w:val="24"/>
              </w:rPr>
            </w:pPr>
          </w:p>
        </w:tc>
        <w:tc>
          <w:tcPr>
            <w:tcW w:w="1155" w:type="dxa"/>
            <w:noWrap w:val="0"/>
            <w:vAlign w:val="center"/>
          </w:tcPr>
          <w:p>
            <w:pPr>
              <w:spacing w:line="600" w:lineRule="exact"/>
              <w:jc w:val="center"/>
              <w:rPr>
                <w:rFonts w:hint="eastAsia" w:ascii="仿宋" w:hAnsi="仿宋" w:eastAsia="仿宋" w:cs="仿宋"/>
                <w:sz w:val="24"/>
              </w:rPr>
            </w:pPr>
          </w:p>
        </w:tc>
        <w:tc>
          <w:tcPr>
            <w:tcW w:w="1365" w:type="dxa"/>
            <w:noWrap w:val="0"/>
            <w:vAlign w:val="center"/>
          </w:tcPr>
          <w:p>
            <w:pPr>
              <w:spacing w:line="600" w:lineRule="exact"/>
              <w:jc w:val="center"/>
              <w:rPr>
                <w:rFonts w:hint="eastAsia" w:ascii="仿宋" w:hAnsi="仿宋" w:eastAsia="仿宋" w:cs="仿宋"/>
                <w:sz w:val="24"/>
              </w:rPr>
            </w:pPr>
          </w:p>
        </w:tc>
        <w:tc>
          <w:tcPr>
            <w:tcW w:w="1995" w:type="dxa"/>
            <w:noWrap w:val="0"/>
            <w:vAlign w:val="center"/>
          </w:tcPr>
          <w:p>
            <w:pPr>
              <w:spacing w:line="600" w:lineRule="exact"/>
              <w:jc w:val="center"/>
              <w:rPr>
                <w:rFonts w:hint="eastAsia" w:ascii="仿宋" w:hAnsi="仿宋" w:eastAsia="仿宋" w:cs="仿宋"/>
                <w:sz w:val="24"/>
              </w:rPr>
            </w:pPr>
          </w:p>
        </w:tc>
      </w:tr>
    </w:tbl>
    <w:p>
      <w:pPr>
        <w:ind w:firstLine="800" w:firstLineChars="250"/>
        <w:rPr>
          <w:rFonts w:hint="eastAsia" w:ascii="仿宋" w:hAnsi="仿宋" w:eastAsia="仿宋" w:cs="仿宋"/>
          <w:sz w:val="32"/>
          <w:szCs w:val="32"/>
        </w:rPr>
      </w:pPr>
      <w:r>
        <w:rPr>
          <w:rFonts w:hint="eastAsia" w:ascii="仿宋" w:hAnsi="仿宋" w:eastAsia="仿宋" w:cs="仿宋"/>
          <w:sz w:val="32"/>
          <w:szCs w:val="32"/>
        </w:rPr>
        <w:t xml:space="preserve">  </w:t>
      </w:r>
    </w:p>
    <w:p>
      <w:pPr>
        <w:rPr>
          <w:rFonts w:hint="eastAsia" w:ascii="仿宋" w:hAnsi="仿宋" w:eastAsia="仿宋" w:cs="仿宋"/>
          <w:sz w:val="28"/>
          <w:szCs w:val="28"/>
        </w:rPr>
      </w:pPr>
      <w:r>
        <w:rPr>
          <w:rFonts w:hint="eastAsia" w:ascii="仿宋" w:hAnsi="仿宋" w:eastAsia="仿宋" w:cs="仿宋"/>
          <w:sz w:val="28"/>
          <w:szCs w:val="28"/>
        </w:rPr>
        <w:t>注：以上报价已含各项税费和利润（格式可自拟）</w:t>
      </w:r>
    </w:p>
    <w:p>
      <w:pPr>
        <w:pStyle w:val="16"/>
      </w:pPr>
    </w:p>
    <w:p>
      <w:pPr>
        <w:spacing w:line="360" w:lineRule="auto"/>
        <w:rPr>
          <w:rFonts w:ascii="宋体" w:hAnsi="宋体" w:cs="宋体"/>
          <w:b/>
          <w:sz w:val="28"/>
          <w:szCs w:val="28"/>
        </w:rPr>
      </w:pPr>
    </w:p>
    <w:p>
      <w:pPr>
        <w:spacing w:line="360" w:lineRule="auto"/>
        <w:rPr>
          <w:rFonts w:ascii="宋体" w:hAnsi="宋体" w:cs="宋体"/>
          <w:b/>
          <w:sz w:val="28"/>
          <w:szCs w:val="28"/>
        </w:rPr>
      </w:pPr>
    </w:p>
    <w:p>
      <w:pPr>
        <w:pStyle w:val="16"/>
        <w:ind w:left="0" w:leftChars="0" w:firstLine="0" w:firstLineChars="0"/>
        <w:rPr>
          <w:rFonts w:ascii="宋体" w:hAnsi="宋体" w:cs="宋体"/>
          <w:b/>
          <w:sz w:val="28"/>
          <w:szCs w:val="28"/>
        </w:rPr>
      </w:pPr>
    </w:p>
    <w:p>
      <w:pPr>
        <w:pStyle w:val="3"/>
        <w:numPr>
          <w:ilvl w:val="0"/>
          <w:numId w:val="0"/>
        </w:numPr>
        <w:tabs>
          <w:tab w:val="left" w:pos="1155"/>
        </w:tabs>
        <w:ind w:firstLine="2711" w:firstLineChars="900"/>
        <w:rPr>
          <w:rFonts w:hint="eastAsia" w:ascii="仿宋_GB2312" w:hAnsi="Times New Roman" w:eastAsia="仿宋_GB2312" w:cs="仿宋_GB2312"/>
          <w:b/>
          <w:kern w:val="0"/>
          <w:sz w:val="30"/>
          <w:szCs w:val="30"/>
          <w:lang w:val="en-US" w:eastAsia="zh-CN" w:bidi="ar-SA"/>
        </w:rPr>
      </w:pPr>
      <w:bookmarkStart w:id="79" w:name="_Toc12843_WPSOffice_Level1"/>
      <w:bookmarkStart w:id="80" w:name="_Toc17910"/>
      <w:r>
        <w:rPr>
          <w:rFonts w:hint="eastAsia" w:ascii="仿宋_GB2312" w:eastAsia="仿宋_GB2312" w:cs="仿宋_GB2312"/>
          <w:b/>
          <w:kern w:val="0"/>
          <w:sz w:val="30"/>
          <w:szCs w:val="30"/>
          <w:lang w:val="en-US" w:eastAsia="zh-CN" w:bidi="ar-SA"/>
        </w:rPr>
        <w:t>五</w:t>
      </w:r>
      <w:r>
        <w:rPr>
          <w:rFonts w:hint="eastAsia" w:ascii="仿宋_GB2312" w:hAnsi="Times New Roman" w:eastAsia="仿宋_GB2312" w:cs="仿宋_GB2312"/>
          <w:b/>
          <w:kern w:val="0"/>
          <w:sz w:val="30"/>
          <w:szCs w:val="30"/>
          <w:lang w:val="en-US" w:eastAsia="zh-CN" w:bidi="ar-SA"/>
        </w:rPr>
        <w:t>、物业管理服务方案</w:t>
      </w:r>
      <w:bookmarkEnd w:id="79"/>
      <w:bookmarkEnd w:id="80"/>
    </w:p>
    <w:p>
      <w:pPr>
        <w:jc w:val="center"/>
        <w:rPr>
          <w:rFonts w:hint="eastAsia" w:ascii="仿宋_GB2312" w:hAnsi="Times New Roman" w:eastAsia="仿宋_GB2312" w:cs="仿宋_GB2312"/>
          <w:b/>
          <w:kern w:val="0"/>
          <w:sz w:val="30"/>
          <w:szCs w:val="30"/>
          <w:lang w:val="en-US" w:eastAsia="zh-CN" w:bidi="ar-SA"/>
        </w:rPr>
      </w:pPr>
      <w:bookmarkStart w:id="81" w:name="_Toc2256_WPSOffice_Level2"/>
      <w:r>
        <w:rPr>
          <w:rFonts w:hint="eastAsia" w:ascii="仿宋_GB2312" w:eastAsia="仿宋_GB2312"/>
          <w:sz w:val="30"/>
          <w:szCs w:val="30"/>
        </w:rPr>
        <w:t>(投标人可自行制作格式)</w:t>
      </w:r>
      <w:bookmarkEnd w:id="81"/>
      <w:bookmarkStart w:id="82" w:name="_Toc29195"/>
      <w:bookmarkStart w:id="83" w:name="_Toc10148_WPSOffice_Level1"/>
    </w:p>
    <w:p>
      <w:pPr>
        <w:pStyle w:val="3"/>
        <w:numPr>
          <w:ilvl w:val="0"/>
          <w:numId w:val="0"/>
        </w:numPr>
        <w:tabs>
          <w:tab w:val="left" w:pos="1155"/>
        </w:tabs>
        <w:ind w:firstLine="2711" w:firstLineChars="900"/>
        <w:rPr>
          <w:rFonts w:hint="eastAsia" w:ascii="仿宋_GB2312" w:hAnsi="Times New Roman" w:eastAsia="仿宋_GB2312" w:cs="仿宋_GB2312"/>
          <w:b/>
          <w:kern w:val="0"/>
          <w:sz w:val="30"/>
          <w:szCs w:val="30"/>
          <w:lang w:val="en-US" w:eastAsia="zh-CN" w:bidi="ar-SA"/>
        </w:rPr>
      </w:pPr>
      <w:r>
        <w:rPr>
          <w:rFonts w:hint="eastAsia" w:ascii="仿宋_GB2312" w:eastAsia="仿宋_GB2312" w:cs="仿宋_GB2312"/>
          <w:b/>
          <w:kern w:val="0"/>
          <w:sz w:val="30"/>
          <w:szCs w:val="30"/>
          <w:lang w:val="en-US" w:eastAsia="zh-CN" w:bidi="ar-SA"/>
        </w:rPr>
        <w:t>六</w:t>
      </w:r>
      <w:r>
        <w:rPr>
          <w:rFonts w:hint="eastAsia" w:ascii="仿宋_GB2312" w:hAnsi="Times New Roman" w:eastAsia="仿宋_GB2312" w:cs="仿宋_GB2312"/>
          <w:b/>
          <w:kern w:val="0"/>
          <w:sz w:val="30"/>
          <w:szCs w:val="30"/>
          <w:lang w:val="en-US" w:eastAsia="zh-CN" w:bidi="ar-SA"/>
        </w:rPr>
        <w:t>、投标人企业简介</w:t>
      </w:r>
      <w:bookmarkEnd w:id="82"/>
      <w:bookmarkEnd w:id="83"/>
    </w:p>
    <w:p>
      <w:pPr>
        <w:jc w:val="center"/>
        <w:rPr>
          <w:rFonts w:ascii="宋体" w:hAnsi="宋体" w:cs="宋体"/>
          <w:b/>
          <w:sz w:val="28"/>
          <w:szCs w:val="28"/>
        </w:rPr>
      </w:pPr>
      <w:bookmarkStart w:id="84" w:name="_Toc18702_WPSOffice_Level2"/>
      <w:r>
        <w:rPr>
          <w:rFonts w:hint="eastAsia" w:ascii="仿宋_GB2312" w:eastAsia="仿宋_GB2312"/>
          <w:sz w:val="30"/>
          <w:szCs w:val="30"/>
        </w:rPr>
        <w:t>(投标人可自行制作格式)</w:t>
      </w:r>
      <w:bookmarkEnd w:id="84"/>
    </w:p>
    <w:p>
      <w:pPr>
        <w:jc w:val="center"/>
      </w:pPr>
      <w:bookmarkStart w:id="85" w:name="_Toc14131"/>
      <w:r>
        <w:rPr>
          <w:rFonts w:hint="eastAsia"/>
          <w:b/>
          <w:bCs/>
          <w:lang w:val="en-US" w:eastAsia="zh-CN"/>
        </w:rPr>
        <w:t xml:space="preserve"> </w:t>
      </w:r>
      <w:bookmarkEnd w:id="85"/>
    </w:p>
    <w:p>
      <w:pPr>
        <w:pStyle w:val="3"/>
        <w:numPr>
          <w:ilvl w:val="0"/>
          <w:numId w:val="0"/>
        </w:numPr>
        <w:tabs>
          <w:tab w:val="left" w:pos="1155"/>
        </w:tabs>
        <w:ind w:firstLine="2530" w:firstLineChars="900"/>
        <w:rPr>
          <w:rFonts w:hint="eastAsia" w:ascii="仿宋_GB2312" w:hAnsi="Times New Roman" w:eastAsia="仿宋_GB2312" w:cs="仿宋_GB2312"/>
          <w:b/>
          <w:kern w:val="0"/>
          <w:sz w:val="30"/>
          <w:szCs w:val="30"/>
          <w:lang w:val="en-US" w:eastAsia="zh-CN" w:bidi="ar-SA"/>
        </w:rPr>
      </w:pPr>
      <w:bookmarkStart w:id="86" w:name="_Toc30866_WPSOffice_Level1"/>
      <w:r>
        <w:rPr>
          <w:rFonts w:hint="eastAsia" w:ascii="宋体" w:hAnsi="宋体" w:cs="宋体"/>
          <w:b/>
          <w:bCs/>
          <w:sz w:val="28"/>
          <w:szCs w:val="28"/>
          <w:lang w:eastAsia="zh-CN"/>
        </w:rPr>
        <w:t>七</w:t>
      </w:r>
      <w:r>
        <w:rPr>
          <w:rFonts w:hint="eastAsia" w:ascii="宋体" w:hAnsi="宋体" w:eastAsia="宋体" w:cs="宋体"/>
          <w:b/>
          <w:bCs/>
          <w:sz w:val="28"/>
          <w:szCs w:val="28"/>
          <w:lang w:eastAsia="zh-CN"/>
        </w:rPr>
        <w:t>、</w:t>
      </w:r>
      <w:r>
        <w:rPr>
          <w:rFonts w:hint="eastAsia" w:ascii="宋体" w:hAnsi="宋体" w:eastAsia="宋体" w:cs="宋体"/>
          <w:b/>
          <w:bCs/>
          <w:sz w:val="28"/>
          <w:szCs w:val="28"/>
        </w:rPr>
        <w:t>其他（投标人认为需要提供的其它资料）</w:t>
      </w:r>
      <w:bookmarkEnd w:id="86"/>
    </w:p>
    <w:p>
      <w:pPr>
        <w:jc w:val="center"/>
        <w:rPr>
          <w:rFonts w:hint="eastAsia" w:ascii="仿宋_GB2312" w:eastAsia="仿宋_GB2312"/>
          <w:sz w:val="30"/>
          <w:szCs w:val="30"/>
        </w:rPr>
      </w:pPr>
      <w:bookmarkStart w:id="87" w:name="_Toc18030_WPSOffice_Level2"/>
      <w:r>
        <w:rPr>
          <w:rFonts w:hint="eastAsia" w:ascii="仿宋_GB2312" w:eastAsia="仿宋_GB2312"/>
          <w:sz w:val="30"/>
          <w:szCs w:val="30"/>
        </w:rPr>
        <w:t>(投标人可自行制作格式)</w:t>
      </w:r>
      <w:bookmarkEnd w:id="87"/>
      <w:bookmarkStart w:id="88" w:name="_Toc16527_WPSOffice_Level1"/>
    </w:p>
    <w:p>
      <w:pPr>
        <w:jc w:val="center"/>
        <w:rPr>
          <w:rFonts w:hint="eastAsia" w:ascii="仿宋_GB2312" w:eastAsia="仿宋_GB2312"/>
          <w:sz w:val="30"/>
          <w:szCs w:val="30"/>
        </w:rPr>
      </w:pPr>
    </w:p>
    <w:p>
      <w:pPr>
        <w:jc w:val="center"/>
        <w:rPr>
          <w:rFonts w:hint="eastAsia" w:ascii="仿宋_GB2312" w:eastAsia="仿宋_GB2312"/>
          <w:sz w:val="30"/>
          <w:szCs w:val="30"/>
        </w:rPr>
      </w:pPr>
    </w:p>
    <w:p>
      <w:pPr>
        <w:jc w:val="center"/>
        <w:rPr>
          <w:rFonts w:hint="eastAsia" w:ascii="仿宋_GB2312" w:eastAsia="仿宋_GB2312"/>
          <w:sz w:val="30"/>
          <w:szCs w:val="30"/>
        </w:rPr>
      </w:pPr>
    </w:p>
    <w:p>
      <w:pPr>
        <w:jc w:val="center"/>
        <w:rPr>
          <w:rFonts w:hint="eastAsia" w:ascii="仿宋_GB2312" w:eastAsia="仿宋_GB2312"/>
          <w:sz w:val="30"/>
          <w:szCs w:val="30"/>
        </w:rPr>
      </w:pPr>
    </w:p>
    <w:p>
      <w:pPr>
        <w:pStyle w:val="2"/>
        <w:rPr>
          <w:rFonts w:hint="eastAsia" w:ascii="仿宋_GB2312" w:eastAsia="仿宋_GB2312"/>
          <w:sz w:val="30"/>
          <w:szCs w:val="30"/>
        </w:rPr>
      </w:pPr>
    </w:p>
    <w:p>
      <w:pPr>
        <w:pStyle w:val="2"/>
        <w:rPr>
          <w:rFonts w:hint="eastAsia" w:ascii="仿宋_GB2312" w:eastAsia="仿宋_GB2312"/>
          <w:sz w:val="30"/>
          <w:szCs w:val="30"/>
        </w:rPr>
      </w:pPr>
    </w:p>
    <w:p>
      <w:pPr>
        <w:pStyle w:val="2"/>
        <w:rPr>
          <w:rFonts w:hint="eastAsia" w:ascii="仿宋_GB2312" w:eastAsia="仿宋_GB2312"/>
          <w:sz w:val="30"/>
          <w:szCs w:val="30"/>
        </w:rPr>
      </w:pPr>
    </w:p>
    <w:p>
      <w:pPr>
        <w:pStyle w:val="2"/>
        <w:rPr>
          <w:rFonts w:hint="eastAsia" w:ascii="仿宋_GB2312" w:eastAsia="仿宋_GB2312"/>
          <w:sz w:val="30"/>
          <w:szCs w:val="30"/>
        </w:rPr>
      </w:pPr>
    </w:p>
    <w:p>
      <w:pPr>
        <w:pStyle w:val="2"/>
        <w:rPr>
          <w:rFonts w:hint="eastAsia" w:ascii="仿宋_GB2312" w:eastAsia="仿宋_GB2312"/>
          <w:sz w:val="30"/>
          <w:szCs w:val="30"/>
        </w:rPr>
      </w:pPr>
    </w:p>
    <w:p>
      <w:pPr>
        <w:pStyle w:val="2"/>
        <w:rPr>
          <w:rFonts w:hint="eastAsia" w:ascii="仿宋_GB2312" w:eastAsia="仿宋_GB2312"/>
          <w:sz w:val="30"/>
          <w:szCs w:val="30"/>
        </w:rPr>
      </w:pPr>
    </w:p>
    <w:p>
      <w:pPr>
        <w:pStyle w:val="2"/>
        <w:rPr>
          <w:rFonts w:hint="eastAsia" w:ascii="仿宋_GB2312" w:eastAsia="仿宋_GB2312"/>
          <w:sz w:val="30"/>
          <w:szCs w:val="30"/>
        </w:rPr>
      </w:pPr>
    </w:p>
    <w:p>
      <w:pPr>
        <w:pStyle w:val="2"/>
        <w:rPr>
          <w:rFonts w:hint="eastAsia" w:ascii="仿宋_GB2312" w:eastAsia="仿宋_GB2312"/>
          <w:sz w:val="30"/>
          <w:szCs w:val="30"/>
        </w:rPr>
      </w:pPr>
    </w:p>
    <w:p>
      <w:pPr>
        <w:jc w:val="center"/>
        <w:rPr>
          <w:rFonts w:hint="eastAsia" w:ascii="仿宋_GB2312" w:eastAsia="仿宋_GB2312"/>
          <w:sz w:val="30"/>
          <w:szCs w:val="30"/>
        </w:rPr>
      </w:pPr>
    </w:p>
    <w:p>
      <w:pPr>
        <w:rPr>
          <w:rFonts w:hint="eastAsia" w:ascii="宋体" w:hAnsi="宋体" w:cs="宋体"/>
        </w:rPr>
      </w:pPr>
      <w:r>
        <w:rPr>
          <w:rFonts w:hint="eastAsia" w:ascii="宋体" w:hAnsi="宋体" w:cs="宋体"/>
          <w:sz w:val="24"/>
          <w:szCs w:val="24"/>
        </w:rPr>
        <w:t>附件：</w:t>
      </w:r>
      <w:bookmarkStart w:id="89" w:name="_Toc207596288"/>
      <w:bookmarkStart w:id="90" w:name="_Toc212891135"/>
      <w:bookmarkStart w:id="91" w:name="_Toc207781874"/>
      <w:r>
        <w:rPr>
          <w:rFonts w:hint="eastAsia" w:ascii="宋体" w:hAnsi="宋体" w:cs="宋体"/>
          <w:sz w:val="24"/>
          <w:szCs w:val="24"/>
        </w:rPr>
        <w:t xml:space="preserve">  </w:t>
      </w:r>
      <w:r>
        <w:rPr>
          <w:rFonts w:hint="eastAsia" w:ascii="宋体" w:hAnsi="宋体" w:cs="宋体"/>
        </w:rPr>
        <w:t xml:space="preserve">                                                            </w:t>
      </w:r>
    </w:p>
    <w:p>
      <w:pPr>
        <w:jc w:val="center"/>
        <w:outlineLvl w:val="0"/>
        <w:rPr>
          <w:rFonts w:hint="eastAsia" w:ascii="宋体" w:hAnsi="宋体" w:cs="宋体"/>
          <w:sz w:val="52"/>
          <w:szCs w:val="52"/>
        </w:rPr>
      </w:pPr>
      <w:bookmarkStart w:id="92" w:name="_Toc1295"/>
      <w:r>
        <w:rPr>
          <w:rFonts w:hint="eastAsia" w:ascii="宋体" w:hAnsi="宋体" w:cs="宋体"/>
          <w:sz w:val="52"/>
          <w:szCs w:val="52"/>
        </w:rPr>
        <w:t>安 徽 省 地 方 标 准</w:t>
      </w:r>
      <w:bookmarkEnd w:id="92"/>
    </w:p>
    <w:bookmarkEnd w:id="89"/>
    <w:bookmarkEnd w:id="90"/>
    <w:bookmarkEnd w:id="91"/>
    <w:p>
      <w:pPr>
        <w:rPr>
          <w:rFonts w:hint="eastAsia" w:ascii="宋体" w:hAnsi="宋体" w:cs="宋体"/>
          <w:sz w:val="32"/>
          <w:szCs w:val="32"/>
        </w:rPr>
      </w:pPr>
      <w:r>
        <w:rPr>
          <w:rFonts w:hint="eastAsia" w:ascii="宋体" w:hAnsi="宋体" w:cs="宋体"/>
          <w:sz w:val="32"/>
          <w:szCs w:val="32"/>
        </w:rPr>
        <w:t>J12525-2013                                DB34/T5000-2013</w:t>
      </w:r>
    </w:p>
    <w:p>
      <w:pPr>
        <w:rPr>
          <w:rFonts w:hint="eastAsia" w:ascii="宋体" w:hAnsi="宋体" w:cs="宋体"/>
          <w:sz w:val="32"/>
          <w:szCs w:val="32"/>
        </w:rPr>
      </w:pPr>
      <w:r>
        <w:rPr>
          <w:rFonts w:hint="eastAsia" w:ascii="宋体" w:hAnsi="宋体" w:cs="宋体"/>
          <w:sz w:val="32"/>
          <w:szCs w:val="32"/>
          <w:u w:val="single"/>
        </w:rPr>
        <w:t xml:space="preserve">                                                          </w:t>
      </w:r>
      <w:r>
        <w:rPr>
          <w:rFonts w:hint="eastAsia" w:ascii="宋体" w:hAnsi="宋体" w:cs="宋体"/>
          <w:sz w:val="32"/>
          <w:szCs w:val="32"/>
        </w:rPr>
        <w:t xml:space="preserve">               </w:t>
      </w:r>
    </w:p>
    <w:p>
      <w:pPr>
        <w:pStyle w:val="48"/>
        <w:framePr w:w="0" w:hRule="auto" w:wrap="auto" w:vAnchor="margin" w:hAnchor="text" w:xAlign="left" w:yAlign="inline"/>
        <w:ind w:firstLine="720" w:firstLineChars="150"/>
        <w:jc w:val="both"/>
        <w:rPr>
          <w:rFonts w:hint="eastAsia" w:ascii="宋体" w:hAnsi="宋体" w:eastAsia="宋体" w:cs="宋体"/>
          <w:sz w:val="48"/>
          <w:szCs w:val="48"/>
        </w:rPr>
      </w:pPr>
    </w:p>
    <w:p>
      <w:pPr>
        <w:pStyle w:val="48"/>
        <w:framePr w:w="0" w:hRule="auto" w:wrap="auto" w:vAnchor="margin" w:hAnchor="text" w:xAlign="left" w:yAlign="inline"/>
        <w:ind w:firstLine="720" w:firstLineChars="150"/>
        <w:jc w:val="both"/>
        <w:rPr>
          <w:rFonts w:hint="eastAsia" w:ascii="宋体" w:hAnsi="宋体" w:eastAsia="宋体" w:cs="宋体"/>
          <w:sz w:val="48"/>
          <w:szCs w:val="48"/>
        </w:rPr>
      </w:pPr>
    </w:p>
    <w:p>
      <w:pPr>
        <w:pStyle w:val="48"/>
        <w:framePr w:w="0" w:hRule="auto" w:wrap="auto" w:vAnchor="margin" w:hAnchor="text" w:xAlign="left" w:yAlign="inline"/>
        <w:ind w:firstLine="720" w:firstLineChars="150"/>
        <w:outlineLvl w:val="0"/>
        <w:rPr>
          <w:rFonts w:hint="eastAsia" w:ascii="宋体" w:hAnsi="宋体" w:eastAsia="宋体" w:cs="宋体"/>
          <w:sz w:val="48"/>
          <w:szCs w:val="48"/>
        </w:rPr>
      </w:pPr>
      <w:bookmarkStart w:id="93" w:name="_Toc23171"/>
      <w:r>
        <w:rPr>
          <w:rFonts w:hint="eastAsia" w:ascii="宋体" w:hAnsi="宋体" w:eastAsia="宋体" w:cs="宋体"/>
          <w:sz w:val="48"/>
          <w:szCs w:val="48"/>
        </w:rPr>
        <w:t>住宅小区服务标准</w:t>
      </w:r>
      <w:bookmarkEnd w:id="93"/>
    </w:p>
    <w:p>
      <w:pPr>
        <w:pStyle w:val="10"/>
        <w:pBdr>
          <w:bottom w:val="single" w:color="auto" w:sz="6" w:space="1"/>
        </w:pBdr>
        <w:spacing w:line="360" w:lineRule="auto"/>
        <w:jc w:val="center"/>
        <w:outlineLvl w:val="0"/>
        <w:rPr>
          <w:rFonts w:hint="eastAsia" w:hAnsi="宋体" w:cs="宋体"/>
          <w:sz w:val="28"/>
        </w:rPr>
      </w:pPr>
      <w:bookmarkStart w:id="94" w:name="_Toc20697"/>
      <w:r>
        <w:rPr>
          <w:rFonts w:hint="eastAsia" w:hAnsi="宋体" w:cs="宋体"/>
          <w:sz w:val="28"/>
          <w:szCs w:val="28"/>
        </w:rPr>
        <w:t>Property service standard of residence community</w:t>
      </w:r>
      <w:bookmarkEnd w:id="94"/>
    </w:p>
    <w:p>
      <w:pPr>
        <w:pStyle w:val="10"/>
        <w:pBdr>
          <w:bottom w:val="single" w:color="auto" w:sz="6" w:space="1"/>
        </w:pBdr>
        <w:spacing w:line="360" w:lineRule="auto"/>
        <w:jc w:val="center"/>
        <w:rPr>
          <w:rFonts w:hint="eastAsia" w:hAnsi="宋体" w:cs="宋体"/>
          <w:sz w:val="28"/>
        </w:rPr>
      </w:pPr>
    </w:p>
    <w:p>
      <w:pPr>
        <w:pStyle w:val="10"/>
        <w:pBdr>
          <w:bottom w:val="single" w:color="auto" w:sz="6" w:space="1"/>
        </w:pBdr>
        <w:spacing w:line="360" w:lineRule="auto"/>
        <w:jc w:val="center"/>
        <w:rPr>
          <w:rFonts w:hint="eastAsia" w:hAnsi="宋体" w:cs="宋体"/>
          <w:sz w:val="28"/>
        </w:rPr>
      </w:pPr>
    </w:p>
    <w:p>
      <w:pPr>
        <w:pStyle w:val="10"/>
        <w:pBdr>
          <w:bottom w:val="single" w:color="auto" w:sz="6" w:space="1"/>
        </w:pBdr>
        <w:spacing w:line="360" w:lineRule="auto"/>
        <w:jc w:val="center"/>
        <w:rPr>
          <w:rFonts w:hint="eastAsia" w:hAnsi="宋体" w:cs="宋体"/>
          <w:sz w:val="28"/>
        </w:rPr>
      </w:pPr>
    </w:p>
    <w:p>
      <w:pPr>
        <w:pStyle w:val="10"/>
        <w:pBdr>
          <w:bottom w:val="single" w:color="auto" w:sz="6" w:space="1"/>
        </w:pBdr>
        <w:spacing w:line="360" w:lineRule="auto"/>
        <w:jc w:val="center"/>
        <w:rPr>
          <w:rFonts w:hint="eastAsia" w:hAnsi="宋体" w:cs="宋体"/>
          <w:sz w:val="28"/>
        </w:rPr>
      </w:pPr>
    </w:p>
    <w:p>
      <w:pPr>
        <w:pStyle w:val="10"/>
        <w:pBdr>
          <w:bottom w:val="single" w:color="auto" w:sz="6" w:space="1"/>
        </w:pBdr>
        <w:spacing w:line="360" w:lineRule="auto"/>
        <w:jc w:val="center"/>
        <w:rPr>
          <w:rFonts w:hint="eastAsia" w:hAnsi="宋体" w:cs="宋体"/>
          <w:sz w:val="28"/>
        </w:rPr>
      </w:pPr>
    </w:p>
    <w:p>
      <w:pPr>
        <w:pStyle w:val="10"/>
        <w:pBdr>
          <w:bottom w:val="single" w:color="auto" w:sz="6" w:space="1"/>
        </w:pBdr>
        <w:spacing w:line="360" w:lineRule="auto"/>
        <w:jc w:val="center"/>
        <w:rPr>
          <w:rFonts w:hint="eastAsia" w:hAnsi="宋体" w:cs="宋体"/>
          <w:sz w:val="28"/>
        </w:rPr>
      </w:pPr>
    </w:p>
    <w:p>
      <w:pPr>
        <w:pStyle w:val="10"/>
        <w:pBdr>
          <w:bottom w:val="single" w:color="auto" w:sz="6" w:space="1"/>
        </w:pBdr>
        <w:spacing w:line="360" w:lineRule="auto"/>
        <w:jc w:val="center"/>
        <w:rPr>
          <w:rFonts w:hint="eastAsia" w:hAnsi="宋体" w:cs="宋体"/>
          <w:sz w:val="28"/>
        </w:rPr>
      </w:pPr>
    </w:p>
    <w:p>
      <w:pPr>
        <w:pStyle w:val="10"/>
        <w:pBdr>
          <w:bottom w:val="single" w:color="auto" w:sz="6" w:space="1"/>
        </w:pBdr>
        <w:spacing w:line="360" w:lineRule="auto"/>
        <w:jc w:val="center"/>
        <w:rPr>
          <w:rFonts w:hint="eastAsia" w:hAnsi="宋体" w:cs="宋体"/>
          <w:sz w:val="28"/>
        </w:rPr>
      </w:pPr>
    </w:p>
    <w:p>
      <w:pPr>
        <w:pStyle w:val="10"/>
        <w:pBdr>
          <w:bottom w:val="single" w:color="auto" w:sz="6" w:space="1"/>
        </w:pBdr>
        <w:spacing w:line="360" w:lineRule="auto"/>
        <w:rPr>
          <w:rFonts w:hint="eastAsia" w:hAnsi="宋体" w:cs="宋体"/>
          <w:sz w:val="28"/>
        </w:rPr>
      </w:pPr>
    </w:p>
    <w:p>
      <w:pPr>
        <w:pStyle w:val="10"/>
        <w:pBdr>
          <w:bottom w:val="single" w:color="auto" w:sz="6" w:space="1"/>
        </w:pBdr>
        <w:spacing w:line="360" w:lineRule="auto"/>
        <w:jc w:val="center"/>
        <w:rPr>
          <w:rFonts w:hint="eastAsia" w:hAnsi="宋体" w:cs="宋体"/>
          <w:sz w:val="28"/>
        </w:rPr>
      </w:pPr>
    </w:p>
    <w:p>
      <w:pPr>
        <w:pStyle w:val="10"/>
        <w:pBdr>
          <w:bottom w:val="single" w:color="auto" w:sz="6" w:space="1"/>
        </w:pBdr>
        <w:spacing w:line="360" w:lineRule="auto"/>
        <w:outlineLvl w:val="0"/>
        <w:rPr>
          <w:rFonts w:hint="eastAsia" w:hAnsi="宋体" w:cs="宋体"/>
          <w:sz w:val="28"/>
        </w:rPr>
      </w:pPr>
      <w:bookmarkStart w:id="95" w:name="_Toc14900"/>
      <w:r>
        <w:rPr>
          <w:rFonts w:hint="eastAsia" w:hAnsi="宋体" w:cs="宋体"/>
          <w:sz w:val="28"/>
        </w:rPr>
        <w:t>2012-12-30发布                                     2014-03-01实施</w:t>
      </w:r>
      <w:bookmarkEnd w:id="95"/>
    </w:p>
    <w:p>
      <w:pPr>
        <w:pStyle w:val="10"/>
        <w:wordWrap w:val="0"/>
        <w:spacing w:line="240" w:lineRule="atLeast"/>
        <w:jc w:val="right"/>
        <w:rPr>
          <w:rFonts w:hint="eastAsia" w:hAnsi="宋体" w:cs="宋体"/>
          <w:sz w:val="24"/>
        </w:rPr>
      </w:pPr>
      <w:r>
        <w:rPr>
          <w:rFonts w:hint="eastAsia" w:hAnsi="宋体" w:cs="宋体"/>
          <w:sz w:val="24"/>
        </w:rPr>
        <mc:AlternateContent>
          <mc:Choice Requires="wps">
            <w:drawing>
              <wp:anchor distT="0" distB="0" distL="114300" distR="114300" simplePos="0" relativeHeight="251661312" behindDoc="0" locked="0" layoutInCell="1" allowOverlap="1">
                <wp:simplePos x="0" y="0"/>
                <wp:positionH relativeFrom="column">
                  <wp:posOffset>453390</wp:posOffset>
                </wp:positionH>
                <wp:positionV relativeFrom="paragraph">
                  <wp:posOffset>240665</wp:posOffset>
                </wp:positionV>
                <wp:extent cx="2286000" cy="487045"/>
                <wp:effectExtent l="5080" t="4445" r="13970" b="22860"/>
                <wp:wrapNone/>
                <wp:docPr id="3" name="文本框 3"/>
                <wp:cNvGraphicFramePr/>
                <a:graphic xmlns:a="http://schemas.openxmlformats.org/drawingml/2006/main">
                  <a:graphicData uri="http://schemas.microsoft.com/office/word/2010/wordprocessingShape">
                    <wps:wsp>
                      <wps:cNvSpPr txBox="1"/>
                      <wps:spPr>
                        <a:xfrm>
                          <a:off x="0" y="0"/>
                          <a:ext cx="2286000" cy="487045"/>
                        </a:xfrm>
                        <a:prstGeom prst="rect">
                          <a:avLst/>
                        </a:prstGeom>
                        <a:solidFill>
                          <a:srgbClr val="FFFFFF"/>
                        </a:solidFill>
                        <a:ln w="9525" cap="flat" cmpd="sng">
                          <a:solidFill>
                            <a:srgbClr val="FFFFFF"/>
                          </a:solidFill>
                          <a:prstDash val="solid"/>
                          <a:miter/>
                          <a:headEnd type="none" w="med" len="med"/>
                          <a:tailEnd type="none" w="med" len="med"/>
                        </a:ln>
                      </wps:spPr>
                      <wps:txbx>
                        <w:txbxContent>
                          <w:p>
                            <w:pPr>
                              <w:pStyle w:val="10"/>
                              <w:spacing w:line="240" w:lineRule="atLeast"/>
                              <w:rPr>
                                <w:rFonts w:hint="eastAsia" w:hAnsi="宋体" w:cs="宋体"/>
                                <w:b/>
                                <w:bCs/>
                                <w:color w:val="000000"/>
                                <w:sz w:val="24"/>
                              </w:rPr>
                            </w:pPr>
                            <w:r>
                              <w:rPr>
                                <w:rFonts w:hint="eastAsia" w:hAnsi="宋体" w:cs="宋体"/>
                                <w:b/>
                                <w:bCs/>
                                <w:color w:val="000000"/>
                                <w:spacing w:val="-20"/>
                                <w:sz w:val="24"/>
                              </w:rPr>
                              <w:t xml:space="preserve">安徽省住房和城乡建设厅 </w:t>
                            </w:r>
                            <w:r>
                              <w:rPr>
                                <w:rFonts w:hint="eastAsia" w:hAnsi="宋体" w:cs="宋体"/>
                                <w:b/>
                                <w:bCs/>
                                <w:color w:val="000000"/>
                                <w:sz w:val="24"/>
                              </w:rPr>
                              <w:t xml:space="preserve">          </w:t>
                            </w:r>
                            <w:r>
                              <w:rPr>
                                <w:rFonts w:hint="eastAsia" w:hAnsi="宋体" w:cs="宋体"/>
                                <w:b/>
                                <w:bCs/>
                                <w:color w:val="000000"/>
                                <w:spacing w:val="21"/>
                                <w:sz w:val="24"/>
                              </w:rPr>
                              <w:t>安徽省质量技术监督</w:t>
                            </w:r>
                            <w:r>
                              <w:rPr>
                                <w:rFonts w:hint="eastAsia" w:hAnsi="宋体" w:cs="宋体"/>
                                <w:b/>
                                <w:bCs/>
                                <w:color w:val="000000"/>
                                <w:spacing w:val="22"/>
                                <w:sz w:val="24"/>
                              </w:rPr>
                              <w:t>局</w:t>
                            </w:r>
                            <w:r>
                              <w:rPr>
                                <w:rFonts w:hint="eastAsia" w:hAnsi="宋体" w:cs="宋体"/>
                                <w:b/>
                                <w:bCs/>
                                <w:color w:val="000000"/>
                                <w:sz w:val="24"/>
                              </w:rPr>
                              <w:t xml:space="preserve">   </w:t>
                            </w:r>
                          </w:p>
                          <w:p>
                            <w:pPr>
                              <w:pStyle w:val="10"/>
                              <w:spacing w:line="240" w:lineRule="atLeast"/>
                              <w:jc w:val="center"/>
                              <w:rPr>
                                <w:rFonts w:hint="eastAsia" w:hAnsi="宋体" w:cs="宋体"/>
                                <w:color w:val="000000"/>
                                <w:sz w:val="24"/>
                              </w:rPr>
                            </w:pPr>
                          </w:p>
                          <w:p>
                            <w:pPr>
                              <w:pStyle w:val="10"/>
                              <w:spacing w:line="240" w:lineRule="atLeast"/>
                              <w:jc w:val="center"/>
                              <w:rPr>
                                <w:rFonts w:hint="eastAsia" w:hAnsi="宋体" w:cs="宋体"/>
                                <w:color w:val="000000"/>
                                <w:sz w:val="24"/>
                              </w:rPr>
                            </w:pPr>
                          </w:p>
                          <w:p/>
                        </w:txbxContent>
                      </wps:txbx>
                      <wps:bodyPr upright="1"/>
                    </wps:wsp>
                  </a:graphicData>
                </a:graphic>
              </wp:anchor>
            </w:drawing>
          </mc:Choice>
          <mc:Fallback>
            <w:pict>
              <v:shape id="_x0000_s1026" o:spid="_x0000_s1026" o:spt="202" type="#_x0000_t202" style="position:absolute;left:0pt;margin-left:35.7pt;margin-top:18.95pt;height:38.35pt;width:180pt;z-index:251661312;mso-width-relative:page;mso-height-relative:page;" fillcolor="#FFFFFF" filled="t" stroked="t" coordsize="21600,21600" o:gfxdata="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&#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0Z/IfXAAAACQEAAA8AAAAAAAAAAQAgAAAAIgAAAGRy&#10;cy9kb3ducmV2LnhtbFBLAQIUABQAAAAIAIdO4kAS5cBbBgIAADYEAAAOAAAAAAAAAAEAIAAAACYB&#10;AABkcnMvZTJvRG9jLnhtbFBLBQYAAAAABgAGAFkBAACeBQAAAAA=&#10;">
                <v:fill on="t" focussize="0,0"/>
                <v:stroke color="#FFFFFF" joinstyle="miter"/>
                <v:imagedata o:title=""/>
                <o:lock v:ext="edit" aspectratio="f"/>
                <v:textbox>
                  <w:txbxContent>
                    <w:p>
                      <w:pPr>
                        <w:pStyle w:val="10"/>
                        <w:spacing w:line="240" w:lineRule="atLeast"/>
                        <w:rPr>
                          <w:rFonts w:hint="eastAsia" w:hAnsi="宋体" w:cs="宋体"/>
                          <w:b/>
                          <w:bCs/>
                          <w:color w:val="000000"/>
                          <w:sz w:val="24"/>
                        </w:rPr>
                      </w:pPr>
                      <w:r>
                        <w:rPr>
                          <w:rFonts w:hint="eastAsia" w:hAnsi="宋体" w:cs="宋体"/>
                          <w:b/>
                          <w:bCs/>
                          <w:color w:val="000000"/>
                          <w:spacing w:val="-20"/>
                          <w:sz w:val="24"/>
                        </w:rPr>
                        <w:t xml:space="preserve">安徽省住房和城乡建设厅 </w:t>
                      </w:r>
                      <w:r>
                        <w:rPr>
                          <w:rFonts w:hint="eastAsia" w:hAnsi="宋体" w:cs="宋体"/>
                          <w:b/>
                          <w:bCs/>
                          <w:color w:val="000000"/>
                          <w:sz w:val="24"/>
                        </w:rPr>
                        <w:t xml:space="preserve">          </w:t>
                      </w:r>
                      <w:r>
                        <w:rPr>
                          <w:rFonts w:hint="eastAsia" w:hAnsi="宋体" w:cs="宋体"/>
                          <w:b/>
                          <w:bCs/>
                          <w:color w:val="000000"/>
                          <w:spacing w:val="21"/>
                          <w:sz w:val="24"/>
                        </w:rPr>
                        <w:t>安徽省质量技术监督</w:t>
                      </w:r>
                      <w:r>
                        <w:rPr>
                          <w:rFonts w:hint="eastAsia" w:hAnsi="宋体" w:cs="宋体"/>
                          <w:b/>
                          <w:bCs/>
                          <w:color w:val="000000"/>
                          <w:spacing w:val="22"/>
                          <w:sz w:val="24"/>
                        </w:rPr>
                        <w:t>局</w:t>
                      </w:r>
                      <w:r>
                        <w:rPr>
                          <w:rFonts w:hint="eastAsia" w:hAnsi="宋体" w:cs="宋体"/>
                          <w:b/>
                          <w:bCs/>
                          <w:color w:val="000000"/>
                          <w:sz w:val="24"/>
                        </w:rPr>
                        <w:t xml:space="preserve">   </w:t>
                      </w:r>
                    </w:p>
                    <w:p>
                      <w:pPr>
                        <w:pStyle w:val="10"/>
                        <w:spacing w:line="240" w:lineRule="atLeast"/>
                        <w:jc w:val="center"/>
                        <w:rPr>
                          <w:rFonts w:hint="eastAsia" w:hAnsi="宋体" w:cs="宋体"/>
                          <w:color w:val="000000"/>
                          <w:sz w:val="24"/>
                        </w:rPr>
                      </w:pPr>
                    </w:p>
                    <w:p>
                      <w:pPr>
                        <w:pStyle w:val="10"/>
                        <w:spacing w:line="240" w:lineRule="atLeast"/>
                        <w:jc w:val="center"/>
                        <w:rPr>
                          <w:rFonts w:hint="eastAsia" w:hAnsi="宋体" w:cs="宋体"/>
                          <w:color w:val="000000"/>
                          <w:sz w:val="24"/>
                        </w:rPr>
                      </w:pPr>
                    </w:p>
                    <w:p/>
                  </w:txbxContent>
                </v:textbox>
              </v:shape>
            </w:pict>
          </mc:Fallback>
        </mc:AlternateContent>
      </w:r>
    </w:p>
    <w:p>
      <w:pPr>
        <w:pStyle w:val="10"/>
        <w:wordWrap w:val="0"/>
        <w:spacing w:line="240" w:lineRule="atLeast"/>
        <w:jc w:val="right"/>
        <w:rPr>
          <w:rFonts w:hint="eastAsia" w:hAnsi="宋体" w:cs="宋体"/>
          <w:sz w:val="24"/>
        </w:rPr>
      </w:pPr>
    </w:p>
    <w:p>
      <w:pPr>
        <w:pStyle w:val="10"/>
        <w:wordWrap w:val="0"/>
        <w:spacing w:line="240" w:lineRule="atLeast"/>
        <w:jc w:val="right"/>
        <w:rPr>
          <w:rFonts w:hint="eastAsia" w:hAnsi="宋体" w:cs="宋体"/>
          <w:sz w:val="32"/>
          <w:szCs w:val="32"/>
        </w:rPr>
      </w:pPr>
      <w:r>
        <w:rPr>
          <w:rFonts w:hint="eastAsia" w:hAnsi="宋体" w:cs="宋体"/>
          <w:sz w:val="24"/>
        </w:rPr>
        <w:t xml:space="preserve">联合发布                        </w:t>
      </w:r>
    </w:p>
    <w:p>
      <w:pPr>
        <w:jc w:val="center"/>
        <w:outlineLvl w:val="0"/>
        <w:rPr>
          <w:rFonts w:hint="eastAsia" w:ascii="宋体" w:hAnsi="宋体" w:cs="宋体"/>
          <w:sz w:val="24"/>
          <w:szCs w:val="24"/>
        </w:rPr>
      </w:pPr>
      <w:r>
        <w:rPr>
          <w:rFonts w:hint="eastAsia" w:ascii="宋体" w:hAnsi="宋体" w:cs="宋体"/>
          <w:sz w:val="32"/>
          <w:szCs w:val="32"/>
        </w:rPr>
        <w:br w:type="page"/>
      </w:r>
      <w:bookmarkStart w:id="96" w:name="_Toc18367"/>
      <w:r>
        <w:rPr>
          <w:rFonts w:hint="eastAsia" w:ascii="宋体" w:hAnsi="宋体" w:cs="宋体"/>
          <w:sz w:val="24"/>
          <w:szCs w:val="24"/>
        </w:rPr>
        <w:t>1  总  则</w:t>
      </w:r>
      <w:bookmarkEnd w:id="96"/>
    </w:p>
    <w:p>
      <w:pPr>
        <w:ind w:firstLine="480" w:firstLineChars="200"/>
        <w:rPr>
          <w:rFonts w:hint="eastAsia" w:ascii="宋体" w:hAnsi="宋体" w:cs="宋体"/>
          <w:sz w:val="24"/>
          <w:szCs w:val="24"/>
        </w:rPr>
      </w:pPr>
      <w:r>
        <w:rPr>
          <w:rFonts w:hint="eastAsia" w:ascii="宋体" w:hAnsi="宋体" w:cs="宋体"/>
          <w:sz w:val="24"/>
          <w:szCs w:val="24"/>
        </w:rPr>
        <w:t>1.0.1  为加强对住宅区物业服务的监管与评价，规范物业服务行为，提高物业服务水平，维护各方主体权益，推动物业服务行业规范发展，依据《中华人民共和国物权法》、《物业管理条例》和《安徽省物业管理条例》等相关法律法规规定，制定本标准。</w:t>
      </w:r>
    </w:p>
    <w:p>
      <w:pPr>
        <w:ind w:firstLine="480" w:firstLineChars="200"/>
        <w:rPr>
          <w:rFonts w:hint="eastAsia" w:ascii="宋体" w:hAnsi="宋体" w:cs="宋体"/>
          <w:sz w:val="24"/>
          <w:szCs w:val="24"/>
        </w:rPr>
      </w:pPr>
      <w:r>
        <w:rPr>
          <w:rFonts w:hint="eastAsia" w:ascii="宋体" w:hAnsi="宋体" w:cs="宋体"/>
          <w:sz w:val="24"/>
          <w:szCs w:val="24"/>
        </w:rPr>
        <w:t>1.0.2  本标准适用于本省行政区域内的住宅区物业服务企业组织开展物业服务活动的监管与评价。</w:t>
      </w:r>
    </w:p>
    <w:p>
      <w:pPr>
        <w:ind w:firstLine="480" w:firstLineChars="200"/>
        <w:rPr>
          <w:rFonts w:hint="eastAsia" w:ascii="宋体" w:hAnsi="宋体" w:cs="宋体"/>
          <w:sz w:val="24"/>
          <w:szCs w:val="24"/>
        </w:rPr>
      </w:pPr>
      <w:r>
        <w:rPr>
          <w:rFonts w:hint="eastAsia" w:ascii="宋体" w:hAnsi="宋体" w:cs="宋体"/>
          <w:sz w:val="24"/>
          <w:szCs w:val="24"/>
        </w:rPr>
        <w:t xml:space="preserve">1.0.3   本标准按服务内容、服务质量和服务频次，将物业服务等级由高到低划分为A、B、C、D四个层次。 </w:t>
      </w:r>
    </w:p>
    <w:p>
      <w:pPr>
        <w:ind w:firstLine="480" w:firstLineChars="200"/>
        <w:rPr>
          <w:rFonts w:hint="eastAsia" w:ascii="宋体" w:hAnsi="宋体" w:cs="宋体"/>
          <w:sz w:val="24"/>
          <w:szCs w:val="24"/>
        </w:rPr>
      </w:pPr>
      <w:r>
        <w:rPr>
          <w:rFonts w:hint="eastAsia" w:ascii="宋体" w:hAnsi="宋体" w:cs="宋体"/>
          <w:sz w:val="24"/>
          <w:szCs w:val="24"/>
        </w:rPr>
        <w:t>1.0.4  委托单位（建设单位、业主大会、街道（社居委））应在与物业服务企业在物业服务合同中约定物业服务服务等级。物业服务企业应按照合同约定的服务等级提供相应的服务。</w:t>
      </w:r>
    </w:p>
    <w:p>
      <w:pPr>
        <w:ind w:firstLine="480" w:firstLineChars="200"/>
        <w:rPr>
          <w:rFonts w:hint="eastAsia" w:ascii="宋体" w:hAnsi="宋体" w:cs="宋体"/>
          <w:sz w:val="24"/>
          <w:szCs w:val="24"/>
        </w:rPr>
      </w:pPr>
      <w:r>
        <w:rPr>
          <w:rFonts w:hint="eastAsia" w:ascii="宋体" w:hAnsi="宋体" w:cs="宋体"/>
          <w:sz w:val="24"/>
          <w:szCs w:val="24"/>
        </w:rPr>
        <w:t>1.0.5  物业管理主管部门（单位）可依据本标准对物业服务活动进行监管；价格主管部门可依据本标准对物业服务收费进行管理；行业协会、业主委员会、物业服务企业、专业机构等可根据本标准对物业服务活动进行评价。</w:t>
      </w:r>
    </w:p>
    <w:p>
      <w:pPr>
        <w:ind w:firstLine="480" w:firstLineChars="200"/>
        <w:rPr>
          <w:rFonts w:hint="eastAsia" w:ascii="宋体" w:hAnsi="宋体" w:cs="宋体"/>
          <w:sz w:val="24"/>
          <w:szCs w:val="24"/>
        </w:rPr>
      </w:pPr>
      <w:r>
        <w:rPr>
          <w:rFonts w:hint="eastAsia" w:ascii="宋体" w:hAnsi="宋体" w:cs="宋体"/>
          <w:sz w:val="24"/>
          <w:szCs w:val="24"/>
        </w:rPr>
        <w:t xml:space="preserve">1.0.6  住宅区物业服务活动除应本标准外，尚应符合国家现行有关标准的规定 </w:t>
      </w:r>
    </w:p>
    <w:p>
      <w:pPr>
        <w:ind w:firstLine="480" w:firstLineChars="200"/>
        <w:jc w:val="center"/>
        <w:rPr>
          <w:rFonts w:hint="eastAsia" w:ascii="宋体" w:hAnsi="宋体" w:cs="宋体"/>
          <w:sz w:val="24"/>
          <w:szCs w:val="24"/>
        </w:rPr>
      </w:pPr>
      <w:r>
        <w:rPr>
          <w:rFonts w:hint="eastAsia" w:ascii="宋体" w:hAnsi="宋体" w:cs="宋体"/>
          <w:sz w:val="24"/>
          <w:szCs w:val="24"/>
        </w:rPr>
        <w:t>2  术 语</w:t>
      </w:r>
    </w:p>
    <w:p>
      <w:pPr>
        <w:ind w:firstLine="480" w:firstLineChars="200"/>
        <w:rPr>
          <w:rFonts w:hint="eastAsia" w:ascii="宋体" w:hAnsi="宋体" w:cs="宋体"/>
          <w:sz w:val="24"/>
          <w:szCs w:val="24"/>
        </w:rPr>
      </w:pPr>
      <w:r>
        <w:rPr>
          <w:rFonts w:hint="eastAsia" w:ascii="宋体" w:hAnsi="宋体" w:cs="宋体"/>
          <w:sz w:val="24"/>
          <w:szCs w:val="24"/>
        </w:rPr>
        <w:t>2.0.1  住宅区residence community</w:t>
      </w:r>
    </w:p>
    <w:p>
      <w:pPr>
        <w:ind w:firstLine="480" w:firstLineChars="200"/>
        <w:rPr>
          <w:rFonts w:hint="eastAsia" w:ascii="宋体" w:hAnsi="宋体" w:cs="宋体"/>
          <w:sz w:val="24"/>
          <w:szCs w:val="24"/>
        </w:rPr>
      </w:pPr>
      <w:r>
        <w:rPr>
          <w:rFonts w:hint="eastAsia" w:ascii="宋体" w:hAnsi="宋体" w:cs="宋体"/>
          <w:sz w:val="24"/>
          <w:szCs w:val="24"/>
        </w:rPr>
        <w:t>具有一定规模人口规模、用地的住宅及附属建筑物，以满足居民日常物质、文化生活需要为根本特征，具有居住功能、服务功能和社会功能的集合，一般由城市干道的分割或自然界限制包围的相对独立的区域。</w:t>
      </w:r>
    </w:p>
    <w:p>
      <w:pPr>
        <w:ind w:firstLine="480" w:firstLineChars="200"/>
        <w:rPr>
          <w:rFonts w:hint="eastAsia" w:ascii="宋体" w:hAnsi="宋体" w:cs="宋体"/>
          <w:sz w:val="24"/>
          <w:szCs w:val="24"/>
        </w:rPr>
      </w:pPr>
      <w:r>
        <w:rPr>
          <w:rFonts w:hint="eastAsia" w:ascii="宋体" w:hAnsi="宋体" w:cs="宋体"/>
          <w:sz w:val="24"/>
          <w:szCs w:val="24"/>
        </w:rPr>
        <w:t>2.0.2  物业服务property service</w:t>
      </w:r>
    </w:p>
    <w:p>
      <w:pPr>
        <w:ind w:firstLine="480" w:firstLineChars="200"/>
        <w:rPr>
          <w:rFonts w:hint="eastAsia" w:ascii="宋体" w:hAnsi="宋体" w:cs="宋体"/>
          <w:sz w:val="24"/>
          <w:szCs w:val="24"/>
        </w:rPr>
      </w:pPr>
      <w:r>
        <w:rPr>
          <w:rFonts w:hint="eastAsia" w:ascii="宋体" w:hAnsi="宋体" w:cs="宋体"/>
          <w:sz w:val="24"/>
          <w:szCs w:val="24"/>
        </w:rPr>
        <w:t xml:space="preserve">    委托单位（建设单位、业主大会、街道（社居委））通过选聘物业服务企业，由委托单位和物业服务企业按照物业服务合同约定，对物业管理区域内房屋及配套的设施设备和相关场地进行维修、养护和管理，维护物业管理区域内的环境卫生和相关秩序的活动。</w:t>
      </w:r>
    </w:p>
    <w:p>
      <w:pPr>
        <w:ind w:firstLine="480" w:firstLineChars="200"/>
        <w:rPr>
          <w:rFonts w:hint="eastAsia" w:ascii="宋体" w:hAnsi="宋体" w:cs="宋体"/>
          <w:sz w:val="24"/>
          <w:szCs w:val="24"/>
        </w:rPr>
      </w:pPr>
      <w:r>
        <w:rPr>
          <w:rFonts w:hint="eastAsia" w:ascii="宋体" w:hAnsi="宋体" w:cs="宋体"/>
          <w:sz w:val="24"/>
          <w:szCs w:val="24"/>
        </w:rPr>
        <w:t>2.0.3   共用部位common part of building</w:t>
      </w:r>
    </w:p>
    <w:p>
      <w:pPr>
        <w:ind w:firstLine="480" w:firstLineChars="200"/>
        <w:rPr>
          <w:rFonts w:hint="eastAsia" w:ascii="宋体" w:hAnsi="宋体" w:cs="宋体"/>
          <w:sz w:val="24"/>
          <w:szCs w:val="24"/>
        </w:rPr>
      </w:pPr>
      <w:r>
        <w:rPr>
          <w:rFonts w:hint="eastAsia" w:ascii="宋体" w:hAnsi="宋体" w:cs="宋体"/>
          <w:sz w:val="24"/>
          <w:szCs w:val="24"/>
        </w:rPr>
        <w:t>房屋主体承重结构部位（包括基础、内外承重墙体、柱、梁、楼板、屋顶等）、户外墙面、门厅、楼梯间、地面架空层、走廊通道等。</w:t>
      </w:r>
    </w:p>
    <w:p>
      <w:pPr>
        <w:ind w:firstLine="480" w:firstLineChars="200"/>
        <w:rPr>
          <w:rFonts w:hint="eastAsia" w:ascii="宋体" w:hAnsi="宋体" w:cs="宋体"/>
          <w:sz w:val="24"/>
          <w:szCs w:val="24"/>
        </w:rPr>
      </w:pPr>
      <w:r>
        <w:rPr>
          <w:rFonts w:hint="eastAsia" w:ascii="宋体" w:hAnsi="宋体" w:cs="宋体"/>
          <w:sz w:val="24"/>
          <w:szCs w:val="24"/>
        </w:rPr>
        <w:t xml:space="preserve">2.0.4 共用设施设备 common facilities </w:t>
      </w:r>
    </w:p>
    <w:p>
      <w:pPr>
        <w:ind w:firstLine="480" w:firstLineChars="200"/>
        <w:rPr>
          <w:rFonts w:hint="eastAsia" w:ascii="宋体" w:hAnsi="宋体" w:cs="宋体"/>
          <w:sz w:val="24"/>
          <w:szCs w:val="24"/>
        </w:rPr>
      </w:pPr>
      <w:r>
        <w:rPr>
          <w:rFonts w:hint="eastAsia" w:ascii="宋体" w:hAnsi="宋体" w:cs="宋体"/>
          <w:sz w:val="24"/>
          <w:szCs w:val="24"/>
        </w:rPr>
        <w:t>物业管理区域内建设费用已分摊进入房屋销售价格的共用上下水管道、落水管、水箱、加压水泵、供配电、电梯、天线、照明、锅炉、消防设施、绿地、道路、路灯、渠、池、湖、井、露天广场、非经营性车场车库、公益性文体器械与场所等。</w:t>
      </w:r>
    </w:p>
    <w:p>
      <w:pPr>
        <w:ind w:firstLine="480" w:firstLineChars="200"/>
        <w:rPr>
          <w:rFonts w:hint="eastAsia" w:ascii="宋体" w:hAnsi="宋体" w:cs="宋体"/>
          <w:sz w:val="24"/>
          <w:szCs w:val="24"/>
        </w:rPr>
      </w:pPr>
      <w:r>
        <w:rPr>
          <w:rFonts w:hint="eastAsia" w:ascii="宋体" w:hAnsi="宋体" w:cs="宋体"/>
          <w:sz w:val="24"/>
          <w:szCs w:val="24"/>
        </w:rPr>
        <w:t>2.0.5  应急预案 contingency plan</w:t>
      </w:r>
    </w:p>
    <w:p>
      <w:pPr>
        <w:ind w:firstLine="480" w:firstLineChars="200"/>
        <w:rPr>
          <w:rFonts w:hint="eastAsia" w:ascii="宋体" w:hAnsi="宋体" w:cs="宋体"/>
          <w:sz w:val="24"/>
          <w:szCs w:val="24"/>
        </w:rPr>
      </w:pPr>
      <w:r>
        <w:rPr>
          <w:rFonts w:hint="eastAsia" w:ascii="宋体" w:hAnsi="宋体" w:cs="宋体"/>
          <w:sz w:val="24"/>
          <w:szCs w:val="24"/>
        </w:rPr>
        <w:t>物业管理区域内，针对具体设施、设备、场所和环境，在安全评价的基础上，为降低突发事故造成的人身、财产与环境损失，就事故发生后的应急救援机构和人员，应急救援的设备设施、条件和环境，行动的步骤和纲领，控制事故发生的方法和程序等，预先作出的科学而有效的计划和安排。</w:t>
      </w:r>
    </w:p>
    <w:p>
      <w:pPr>
        <w:ind w:firstLine="480" w:firstLineChars="200"/>
        <w:outlineLvl w:val="0"/>
        <w:rPr>
          <w:rFonts w:hint="eastAsia" w:ascii="宋体" w:hAnsi="宋体" w:cs="宋体"/>
          <w:sz w:val="24"/>
          <w:szCs w:val="24"/>
        </w:rPr>
      </w:pPr>
      <w:bookmarkStart w:id="97" w:name="_Toc30264"/>
      <w:r>
        <w:rPr>
          <w:rFonts w:hint="eastAsia" w:ascii="宋体" w:hAnsi="宋体" w:cs="宋体"/>
          <w:sz w:val="24"/>
          <w:szCs w:val="24"/>
        </w:rPr>
        <w:t>2.0.6  紧急维修 urgent maintenance</w:t>
      </w:r>
      <w:bookmarkEnd w:id="97"/>
    </w:p>
    <w:p>
      <w:pPr>
        <w:ind w:firstLine="480" w:firstLineChars="200"/>
        <w:rPr>
          <w:rFonts w:hint="eastAsia" w:ascii="宋体" w:hAnsi="宋体" w:cs="宋体"/>
          <w:sz w:val="24"/>
          <w:szCs w:val="24"/>
        </w:rPr>
      </w:pPr>
      <w:r>
        <w:rPr>
          <w:rFonts w:hint="eastAsia" w:ascii="宋体" w:hAnsi="宋体" w:cs="宋体"/>
          <w:sz w:val="24"/>
          <w:szCs w:val="24"/>
        </w:rPr>
        <w:t>物业管理区域内的共用部位、共用设施设备发生危及自然人生命财产安全等紧急情况，为维护公共安全、保障共用部位或共用设施设备以及各项功能正常使用，对经认定需要立即对其进行维修活动。</w:t>
      </w:r>
    </w:p>
    <w:p>
      <w:pPr>
        <w:ind w:firstLine="480" w:firstLineChars="200"/>
        <w:rPr>
          <w:rFonts w:hint="eastAsia" w:ascii="宋体" w:hAnsi="宋体" w:cs="宋体"/>
          <w:sz w:val="24"/>
          <w:szCs w:val="24"/>
        </w:rPr>
      </w:pPr>
      <w:r>
        <w:rPr>
          <w:rFonts w:hint="eastAsia" w:ascii="宋体" w:hAnsi="宋体" w:cs="宋体"/>
          <w:sz w:val="24"/>
          <w:szCs w:val="24"/>
        </w:rPr>
        <w:t>2.0.7 一般性维修General repair</w:t>
      </w:r>
    </w:p>
    <w:p>
      <w:pPr>
        <w:ind w:firstLine="480" w:firstLineChars="200"/>
        <w:rPr>
          <w:rFonts w:hint="eastAsia" w:ascii="宋体" w:hAnsi="宋体" w:cs="宋体"/>
          <w:sz w:val="24"/>
          <w:szCs w:val="24"/>
        </w:rPr>
      </w:pPr>
      <w:r>
        <w:rPr>
          <w:rFonts w:hint="eastAsia" w:ascii="宋体" w:hAnsi="宋体" w:cs="宋体"/>
          <w:sz w:val="24"/>
          <w:szCs w:val="24"/>
        </w:rPr>
        <w:t>对影响物业管理区域内业主（物业使用人）正常生活秩序的共用部位损坏、共用设施设备故障进行维修和处理。</w:t>
      </w:r>
    </w:p>
    <w:p>
      <w:pPr>
        <w:ind w:firstLine="480" w:firstLineChars="200"/>
        <w:jc w:val="center"/>
        <w:rPr>
          <w:rFonts w:hint="eastAsia" w:ascii="宋体" w:hAnsi="宋体" w:cs="宋体"/>
          <w:sz w:val="24"/>
          <w:szCs w:val="24"/>
        </w:rPr>
      </w:pPr>
      <w:r>
        <w:rPr>
          <w:rFonts w:hint="eastAsia" w:ascii="宋体" w:hAnsi="宋体" w:cs="宋体"/>
          <w:sz w:val="24"/>
          <w:szCs w:val="24"/>
        </w:rPr>
        <w:t>3  基 本 规 定</w:t>
      </w:r>
    </w:p>
    <w:p>
      <w:pPr>
        <w:ind w:firstLine="480" w:firstLineChars="200"/>
        <w:rPr>
          <w:rFonts w:hint="eastAsia" w:ascii="宋体" w:hAnsi="宋体" w:cs="宋体"/>
          <w:sz w:val="24"/>
          <w:szCs w:val="24"/>
        </w:rPr>
      </w:pPr>
      <w:r>
        <w:rPr>
          <w:rFonts w:hint="eastAsia" w:ascii="宋体" w:hAnsi="宋体" w:cs="宋体"/>
          <w:sz w:val="24"/>
          <w:szCs w:val="24"/>
        </w:rPr>
        <w:t>3.1  服 务 人 员</w:t>
      </w:r>
    </w:p>
    <w:p>
      <w:pPr>
        <w:ind w:firstLine="480" w:firstLineChars="200"/>
        <w:rPr>
          <w:rFonts w:hint="eastAsia" w:ascii="宋体" w:hAnsi="宋体" w:cs="宋体"/>
          <w:sz w:val="24"/>
          <w:szCs w:val="24"/>
        </w:rPr>
      </w:pPr>
      <w:r>
        <w:rPr>
          <w:rFonts w:hint="eastAsia" w:ascii="宋体" w:hAnsi="宋体" w:cs="宋体"/>
          <w:sz w:val="24"/>
          <w:szCs w:val="24"/>
        </w:rPr>
        <w:t>3.1.1  物业服务人员应佩戴统一标识，宜统一着装。</w:t>
      </w:r>
    </w:p>
    <w:p>
      <w:pPr>
        <w:ind w:firstLine="480" w:firstLineChars="200"/>
        <w:rPr>
          <w:rFonts w:hint="eastAsia" w:ascii="宋体" w:hAnsi="宋体" w:cs="宋体"/>
          <w:sz w:val="24"/>
          <w:szCs w:val="24"/>
        </w:rPr>
      </w:pPr>
      <w:r>
        <w:rPr>
          <w:rFonts w:hint="eastAsia" w:ascii="宋体" w:hAnsi="宋体" w:cs="宋体"/>
          <w:sz w:val="24"/>
          <w:szCs w:val="24"/>
        </w:rPr>
        <w:t>3.1.2  物业服务工作场所应标识清楚、整洁有序，有专门接待区域。物业服务人员接待业主（物业使用人）是主动、热情，使用文明用语。</w:t>
      </w:r>
    </w:p>
    <w:p>
      <w:pPr>
        <w:ind w:firstLine="480" w:firstLineChars="200"/>
        <w:rPr>
          <w:rFonts w:hint="eastAsia" w:ascii="宋体" w:hAnsi="宋体" w:cs="宋体"/>
          <w:sz w:val="24"/>
          <w:szCs w:val="24"/>
        </w:rPr>
      </w:pPr>
      <w:r>
        <w:rPr>
          <w:rFonts w:hint="eastAsia" w:ascii="宋体" w:hAnsi="宋体" w:cs="宋体"/>
          <w:sz w:val="24"/>
          <w:szCs w:val="24"/>
        </w:rPr>
        <w:t>3.1.3  物业服务企业对业主（物业使用人）报修、求助、咨询、投诉等应及时处理，并记录存档。</w:t>
      </w:r>
    </w:p>
    <w:p>
      <w:pPr>
        <w:ind w:firstLine="480" w:firstLineChars="200"/>
        <w:rPr>
          <w:rFonts w:hint="eastAsia" w:ascii="宋体" w:hAnsi="宋体" w:cs="宋体"/>
          <w:sz w:val="24"/>
          <w:szCs w:val="24"/>
        </w:rPr>
      </w:pPr>
      <w:r>
        <w:rPr>
          <w:rFonts w:hint="eastAsia" w:ascii="宋体" w:hAnsi="宋体" w:cs="宋体"/>
          <w:sz w:val="24"/>
          <w:szCs w:val="24"/>
        </w:rPr>
        <w:t>3.1.4  物业服务企业应向所管理服务的物业项目委派至少1名物业服务项目经理。</w:t>
      </w:r>
    </w:p>
    <w:p>
      <w:pPr>
        <w:ind w:firstLine="480" w:firstLineChars="200"/>
        <w:rPr>
          <w:rFonts w:hint="eastAsia" w:ascii="宋体" w:hAnsi="宋体" w:cs="宋体"/>
          <w:sz w:val="24"/>
          <w:szCs w:val="24"/>
        </w:rPr>
      </w:pPr>
      <w:r>
        <w:rPr>
          <w:rFonts w:hint="eastAsia" w:ascii="宋体" w:hAnsi="宋体" w:cs="宋体"/>
          <w:sz w:val="24"/>
          <w:szCs w:val="24"/>
        </w:rPr>
        <w:t>3.1.5  物业服务项目经理应取得国家注册物业管理师资格，或取得国家和省认可的职业资格。</w:t>
      </w:r>
    </w:p>
    <w:p>
      <w:pPr>
        <w:ind w:firstLine="480" w:firstLineChars="200"/>
        <w:rPr>
          <w:rFonts w:hint="eastAsia" w:ascii="宋体" w:hAnsi="宋体" w:cs="宋体"/>
          <w:sz w:val="24"/>
          <w:szCs w:val="24"/>
        </w:rPr>
      </w:pPr>
      <w:r>
        <w:rPr>
          <w:rFonts w:hint="eastAsia" w:ascii="宋体" w:hAnsi="宋体" w:cs="宋体"/>
          <w:sz w:val="24"/>
          <w:szCs w:val="24"/>
        </w:rPr>
        <w:t>3.1.6  物业服务专业操作人员应持证上岗；物业管理人员应取得职业资格证书或专业技术职称。</w:t>
      </w:r>
    </w:p>
    <w:p>
      <w:pPr>
        <w:ind w:firstLine="480" w:firstLineChars="200"/>
        <w:rPr>
          <w:rFonts w:hint="eastAsia" w:ascii="宋体" w:hAnsi="宋体" w:cs="宋体"/>
          <w:sz w:val="24"/>
          <w:szCs w:val="24"/>
        </w:rPr>
      </w:pPr>
      <w:r>
        <w:rPr>
          <w:rFonts w:hint="eastAsia" w:ascii="宋体" w:hAnsi="宋体" w:cs="宋体"/>
          <w:sz w:val="24"/>
          <w:szCs w:val="24"/>
        </w:rPr>
        <w:t>3.1.7  物业服务企业根据物业服务等级、服务岗位、服务内容、建筑面积或业主（物业使用人）人数，以及物业服务企业的技术装备，配备相应数量的物业服务人员。物业服务人员配置应符合表3.1.7的规定，并可根据住宅区实际情况，对各类人员配备进行调剂。</w:t>
      </w:r>
    </w:p>
    <w:p>
      <w:pPr>
        <w:ind w:firstLine="480" w:firstLineChars="200"/>
        <w:jc w:val="center"/>
        <w:rPr>
          <w:rFonts w:hint="eastAsia" w:ascii="宋体" w:hAnsi="宋体" w:cs="宋体"/>
          <w:sz w:val="24"/>
          <w:szCs w:val="24"/>
        </w:rPr>
      </w:pPr>
    </w:p>
    <w:p>
      <w:pPr>
        <w:ind w:firstLine="480" w:firstLineChars="200"/>
        <w:jc w:val="center"/>
        <w:rPr>
          <w:rFonts w:hint="eastAsia" w:ascii="宋体" w:hAnsi="宋体" w:cs="宋体"/>
          <w:sz w:val="24"/>
          <w:szCs w:val="24"/>
        </w:rPr>
      </w:pPr>
      <w:r>
        <w:rPr>
          <w:rFonts w:hint="eastAsia" w:ascii="宋体" w:hAnsi="宋体" w:cs="宋体"/>
          <w:sz w:val="24"/>
          <w:szCs w:val="24"/>
        </w:rPr>
        <w:t>表3.1.7  物业服务人员配置标准</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6"/>
        <w:gridCol w:w="1665"/>
        <w:gridCol w:w="3379"/>
        <w:gridCol w:w="3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1166" w:type="dxa"/>
            <w:noWrap w:val="0"/>
            <w:vAlign w:val="center"/>
          </w:tcPr>
          <w:p>
            <w:pPr>
              <w:snapToGrid w:val="0"/>
              <w:jc w:val="center"/>
              <w:rPr>
                <w:rFonts w:hint="eastAsia" w:ascii="宋体" w:hAnsi="宋体" w:cs="宋体"/>
                <w:szCs w:val="21"/>
              </w:rPr>
            </w:pPr>
            <w:r>
              <w:rPr>
                <w:rFonts w:hint="eastAsia" w:ascii="宋体" w:hAnsi="宋体" w:cs="宋体"/>
                <w:szCs w:val="21"/>
              </w:rPr>
              <w:t>服务等级</w:t>
            </w:r>
          </w:p>
        </w:tc>
        <w:tc>
          <w:tcPr>
            <w:tcW w:w="1665" w:type="dxa"/>
            <w:noWrap w:val="0"/>
            <w:vAlign w:val="center"/>
          </w:tcPr>
          <w:p>
            <w:pPr>
              <w:tabs>
                <w:tab w:val="left" w:pos="540"/>
                <w:tab w:val="left" w:pos="1080"/>
              </w:tabs>
              <w:snapToGrid w:val="0"/>
              <w:jc w:val="center"/>
              <w:rPr>
                <w:rFonts w:hint="eastAsia" w:ascii="宋体" w:hAnsi="宋体" w:cs="宋体"/>
                <w:szCs w:val="21"/>
              </w:rPr>
            </w:pPr>
            <w:r>
              <w:rPr>
                <w:rFonts w:hint="eastAsia" w:ascii="宋体" w:hAnsi="宋体" w:cs="宋体"/>
                <w:szCs w:val="21"/>
              </w:rPr>
              <w:t>服务岗位</w:t>
            </w:r>
          </w:p>
        </w:tc>
        <w:tc>
          <w:tcPr>
            <w:tcW w:w="3379" w:type="dxa"/>
            <w:noWrap w:val="0"/>
            <w:vAlign w:val="center"/>
          </w:tcPr>
          <w:p>
            <w:pPr>
              <w:tabs>
                <w:tab w:val="left" w:pos="540"/>
                <w:tab w:val="left" w:pos="1080"/>
              </w:tabs>
              <w:snapToGrid w:val="0"/>
              <w:jc w:val="center"/>
              <w:rPr>
                <w:rFonts w:hint="eastAsia" w:ascii="宋体" w:hAnsi="宋体" w:cs="宋体"/>
                <w:szCs w:val="21"/>
              </w:rPr>
            </w:pPr>
            <w:r>
              <w:rPr>
                <w:rFonts w:hint="eastAsia" w:ascii="宋体" w:hAnsi="宋体" w:cs="宋体"/>
                <w:szCs w:val="21"/>
              </w:rPr>
              <w:t>房屋建筑面积≦10万㎡</w:t>
            </w:r>
          </w:p>
        </w:tc>
        <w:tc>
          <w:tcPr>
            <w:tcW w:w="3364" w:type="dxa"/>
            <w:noWrap w:val="0"/>
            <w:vAlign w:val="center"/>
          </w:tcPr>
          <w:p>
            <w:pPr>
              <w:tabs>
                <w:tab w:val="left" w:pos="540"/>
                <w:tab w:val="left" w:pos="1080"/>
              </w:tabs>
              <w:snapToGrid w:val="0"/>
              <w:jc w:val="center"/>
              <w:rPr>
                <w:rFonts w:hint="eastAsia" w:ascii="宋体" w:hAnsi="宋体" w:cs="宋体"/>
                <w:szCs w:val="21"/>
              </w:rPr>
            </w:pPr>
            <w:r>
              <w:rPr>
                <w:rFonts w:hint="eastAsia" w:ascii="宋体" w:hAnsi="宋体" w:cs="宋体"/>
                <w:szCs w:val="21"/>
              </w:rPr>
              <w:t>房屋建筑面积&gt;10万㎡以上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166" w:type="dxa"/>
            <w:vMerge w:val="restart"/>
            <w:noWrap w:val="0"/>
            <w:vAlign w:val="center"/>
          </w:tcPr>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A</w:t>
            </w:r>
          </w:p>
          <w:p>
            <w:pPr>
              <w:tabs>
                <w:tab w:val="left" w:pos="540"/>
                <w:tab w:val="left" w:pos="1080"/>
              </w:tabs>
              <w:snapToGrid w:val="0"/>
              <w:ind w:firstLine="420" w:firstLineChars="200"/>
              <w:jc w:val="center"/>
              <w:rPr>
                <w:rFonts w:hint="eastAsia" w:ascii="宋体" w:hAnsi="宋体" w:cs="宋体"/>
                <w:szCs w:val="21"/>
              </w:rPr>
            </w:pP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级</w:t>
            </w:r>
          </w:p>
          <w:p>
            <w:pPr>
              <w:tabs>
                <w:tab w:val="left" w:pos="540"/>
                <w:tab w:val="left" w:pos="1080"/>
              </w:tabs>
              <w:snapToGrid w:val="0"/>
              <w:ind w:firstLine="420" w:firstLineChars="200"/>
              <w:jc w:val="center"/>
              <w:rPr>
                <w:rFonts w:hint="eastAsia" w:ascii="宋体" w:hAnsi="宋体" w:cs="宋体"/>
                <w:szCs w:val="21"/>
              </w:rPr>
            </w:pP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服</w:t>
            </w:r>
          </w:p>
          <w:p>
            <w:pPr>
              <w:tabs>
                <w:tab w:val="left" w:pos="540"/>
                <w:tab w:val="left" w:pos="1080"/>
              </w:tabs>
              <w:snapToGrid w:val="0"/>
              <w:ind w:firstLine="420" w:firstLineChars="200"/>
              <w:jc w:val="center"/>
              <w:rPr>
                <w:rFonts w:hint="eastAsia" w:ascii="宋体" w:hAnsi="宋体" w:cs="宋体"/>
                <w:szCs w:val="21"/>
              </w:rPr>
            </w:pP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务</w:t>
            </w:r>
          </w:p>
        </w:tc>
        <w:tc>
          <w:tcPr>
            <w:tcW w:w="1665" w:type="dxa"/>
            <w:noWrap w:val="0"/>
            <w:vAlign w:val="center"/>
          </w:tcPr>
          <w:p>
            <w:pPr>
              <w:tabs>
                <w:tab w:val="left" w:pos="540"/>
                <w:tab w:val="left" w:pos="1080"/>
              </w:tabs>
              <w:snapToGrid w:val="0"/>
              <w:jc w:val="center"/>
              <w:rPr>
                <w:rFonts w:hint="eastAsia" w:ascii="宋体" w:hAnsi="宋体" w:cs="宋体"/>
                <w:szCs w:val="21"/>
              </w:rPr>
            </w:pPr>
            <w:r>
              <w:rPr>
                <w:rFonts w:hint="eastAsia" w:ascii="宋体" w:hAnsi="宋体" w:cs="宋体"/>
                <w:szCs w:val="21"/>
              </w:rPr>
              <w:t>客服</w:t>
            </w:r>
          </w:p>
        </w:tc>
        <w:tc>
          <w:tcPr>
            <w:tcW w:w="3379" w:type="dxa"/>
            <w:noWrap w:val="0"/>
            <w:vAlign w:val="center"/>
          </w:tcPr>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2人</w:t>
            </w:r>
          </w:p>
        </w:tc>
        <w:tc>
          <w:tcPr>
            <w:tcW w:w="3364" w:type="dxa"/>
            <w:noWrap w:val="0"/>
            <w:vAlign w:val="center"/>
          </w:tcPr>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1人／400户～500户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1166" w:type="dxa"/>
            <w:vMerge w:val="continue"/>
            <w:noWrap w:val="0"/>
            <w:vAlign w:val="center"/>
          </w:tcPr>
          <w:p>
            <w:pPr>
              <w:tabs>
                <w:tab w:val="left" w:pos="540"/>
                <w:tab w:val="left" w:pos="1080"/>
              </w:tabs>
              <w:snapToGrid w:val="0"/>
              <w:ind w:firstLine="420" w:firstLineChars="200"/>
              <w:jc w:val="center"/>
              <w:rPr>
                <w:rFonts w:hint="eastAsia" w:ascii="宋体" w:hAnsi="宋体" w:cs="宋体"/>
                <w:szCs w:val="21"/>
              </w:rPr>
            </w:pPr>
          </w:p>
        </w:tc>
        <w:tc>
          <w:tcPr>
            <w:tcW w:w="1665" w:type="dxa"/>
            <w:noWrap w:val="0"/>
            <w:vAlign w:val="center"/>
          </w:tcPr>
          <w:p>
            <w:pPr>
              <w:tabs>
                <w:tab w:val="left" w:pos="540"/>
                <w:tab w:val="left" w:pos="1080"/>
              </w:tabs>
              <w:snapToGrid w:val="0"/>
              <w:jc w:val="center"/>
              <w:rPr>
                <w:rFonts w:hint="eastAsia" w:ascii="宋体" w:hAnsi="宋体" w:cs="宋体"/>
                <w:szCs w:val="21"/>
              </w:rPr>
            </w:pPr>
            <w:r>
              <w:rPr>
                <w:rFonts w:hint="eastAsia" w:ascii="宋体" w:hAnsi="宋体" w:cs="宋体"/>
                <w:szCs w:val="21"/>
              </w:rPr>
              <w:t>保洁</w:t>
            </w:r>
          </w:p>
        </w:tc>
        <w:tc>
          <w:tcPr>
            <w:tcW w:w="3379" w:type="dxa"/>
            <w:noWrap w:val="0"/>
            <w:vAlign w:val="center"/>
          </w:tcPr>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1人／0.8万㎡～1万㎡</w:t>
            </w: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（房屋建筑面积）</w:t>
            </w:r>
          </w:p>
        </w:tc>
        <w:tc>
          <w:tcPr>
            <w:tcW w:w="3364" w:type="dxa"/>
            <w:noWrap w:val="0"/>
            <w:vAlign w:val="center"/>
          </w:tcPr>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1人／0.8万㎡～1万㎡</w:t>
            </w: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（房屋建筑面积）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166" w:type="dxa"/>
            <w:vMerge w:val="continue"/>
            <w:noWrap w:val="0"/>
            <w:vAlign w:val="center"/>
          </w:tcPr>
          <w:p>
            <w:pPr>
              <w:tabs>
                <w:tab w:val="left" w:pos="540"/>
                <w:tab w:val="left" w:pos="1080"/>
              </w:tabs>
              <w:snapToGrid w:val="0"/>
              <w:ind w:firstLine="420" w:firstLineChars="200"/>
              <w:jc w:val="center"/>
              <w:rPr>
                <w:rFonts w:hint="eastAsia" w:ascii="宋体" w:hAnsi="宋体" w:cs="宋体"/>
                <w:szCs w:val="21"/>
              </w:rPr>
            </w:pPr>
          </w:p>
        </w:tc>
        <w:tc>
          <w:tcPr>
            <w:tcW w:w="1665" w:type="dxa"/>
            <w:noWrap w:val="0"/>
            <w:vAlign w:val="center"/>
          </w:tcPr>
          <w:p>
            <w:pPr>
              <w:tabs>
                <w:tab w:val="left" w:pos="540"/>
                <w:tab w:val="left" w:pos="1080"/>
              </w:tabs>
              <w:snapToGrid w:val="0"/>
              <w:jc w:val="center"/>
              <w:rPr>
                <w:rFonts w:hint="eastAsia" w:ascii="宋体" w:hAnsi="宋体" w:cs="宋体"/>
                <w:szCs w:val="21"/>
              </w:rPr>
            </w:pPr>
            <w:r>
              <w:rPr>
                <w:rFonts w:hint="eastAsia" w:ascii="宋体" w:hAnsi="宋体" w:cs="宋体"/>
                <w:szCs w:val="21"/>
              </w:rPr>
              <w:t>秩序维护人员</w:t>
            </w:r>
          </w:p>
        </w:tc>
        <w:tc>
          <w:tcPr>
            <w:tcW w:w="3379" w:type="dxa"/>
            <w:noWrap w:val="0"/>
            <w:vAlign w:val="center"/>
          </w:tcPr>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3～4人/门岗数</w:t>
            </w: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+1人／0.8万㎡～1万㎡</w:t>
            </w: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（房屋建筑面积）</w:t>
            </w:r>
          </w:p>
        </w:tc>
        <w:tc>
          <w:tcPr>
            <w:tcW w:w="3364" w:type="dxa"/>
            <w:noWrap w:val="0"/>
            <w:vAlign w:val="center"/>
          </w:tcPr>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3～4人/门岗数</w:t>
            </w: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+1人／1万㎡～1.2万㎡</w:t>
            </w: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（房屋建筑面积）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66" w:type="dxa"/>
            <w:vMerge w:val="continue"/>
            <w:noWrap w:val="0"/>
            <w:vAlign w:val="center"/>
          </w:tcPr>
          <w:p>
            <w:pPr>
              <w:tabs>
                <w:tab w:val="left" w:pos="540"/>
                <w:tab w:val="left" w:pos="1080"/>
              </w:tabs>
              <w:snapToGrid w:val="0"/>
              <w:ind w:firstLine="420" w:firstLineChars="200"/>
              <w:jc w:val="center"/>
              <w:rPr>
                <w:rFonts w:hint="eastAsia" w:ascii="宋体" w:hAnsi="宋体" w:cs="宋体"/>
                <w:szCs w:val="21"/>
              </w:rPr>
            </w:pPr>
          </w:p>
        </w:tc>
        <w:tc>
          <w:tcPr>
            <w:tcW w:w="1665" w:type="dxa"/>
            <w:noWrap w:val="0"/>
            <w:vAlign w:val="center"/>
          </w:tcPr>
          <w:p>
            <w:pPr>
              <w:tabs>
                <w:tab w:val="left" w:pos="540"/>
                <w:tab w:val="left" w:pos="1080"/>
              </w:tabs>
              <w:snapToGrid w:val="0"/>
              <w:jc w:val="center"/>
              <w:rPr>
                <w:rFonts w:hint="eastAsia" w:ascii="宋体" w:hAnsi="宋体" w:cs="宋体"/>
                <w:szCs w:val="21"/>
              </w:rPr>
            </w:pPr>
            <w:r>
              <w:rPr>
                <w:rFonts w:hint="eastAsia" w:ascii="宋体" w:hAnsi="宋体" w:cs="宋体"/>
                <w:szCs w:val="21"/>
              </w:rPr>
              <w:t>绿化</w:t>
            </w:r>
          </w:p>
        </w:tc>
        <w:tc>
          <w:tcPr>
            <w:tcW w:w="3379" w:type="dxa"/>
            <w:noWrap w:val="0"/>
            <w:vAlign w:val="center"/>
          </w:tcPr>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1人</w:t>
            </w:r>
          </w:p>
        </w:tc>
        <w:tc>
          <w:tcPr>
            <w:tcW w:w="3364" w:type="dxa"/>
            <w:noWrap w:val="0"/>
            <w:vAlign w:val="center"/>
          </w:tcPr>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1人／1万㎡～1.5万㎡</w:t>
            </w: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（绿化面积）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1166" w:type="dxa"/>
            <w:vMerge w:val="continue"/>
            <w:noWrap w:val="0"/>
            <w:vAlign w:val="center"/>
          </w:tcPr>
          <w:p>
            <w:pPr>
              <w:tabs>
                <w:tab w:val="left" w:pos="540"/>
                <w:tab w:val="left" w:pos="1080"/>
              </w:tabs>
              <w:snapToGrid w:val="0"/>
              <w:ind w:firstLine="420" w:firstLineChars="200"/>
              <w:jc w:val="center"/>
              <w:rPr>
                <w:rFonts w:hint="eastAsia" w:ascii="宋体" w:hAnsi="宋体" w:cs="宋体"/>
                <w:szCs w:val="21"/>
              </w:rPr>
            </w:pPr>
          </w:p>
        </w:tc>
        <w:tc>
          <w:tcPr>
            <w:tcW w:w="1665" w:type="dxa"/>
            <w:noWrap w:val="0"/>
            <w:vAlign w:val="center"/>
          </w:tcPr>
          <w:p>
            <w:pPr>
              <w:tabs>
                <w:tab w:val="left" w:pos="540"/>
                <w:tab w:val="left" w:pos="1080"/>
              </w:tabs>
              <w:snapToGrid w:val="0"/>
              <w:jc w:val="center"/>
              <w:rPr>
                <w:rFonts w:hint="eastAsia" w:ascii="宋体" w:hAnsi="宋体" w:cs="宋体"/>
                <w:szCs w:val="21"/>
              </w:rPr>
            </w:pPr>
            <w:r>
              <w:rPr>
                <w:rFonts w:hint="eastAsia" w:ascii="宋体" w:hAnsi="宋体" w:cs="宋体"/>
                <w:szCs w:val="21"/>
              </w:rPr>
              <w:t>维修</w:t>
            </w:r>
          </w:p>
        </w:tc>
        <w:tc>
          <w:tcPr>
            <w:tcW w:w="3379" w:type="dxa"/>
            <w:noWrap w:val="0"/>
            <w:vAlign w:val="center"/>
          </w:tcPr>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1人／</w:t>
            </w:r>
            <w:r>
              <w:rPr>
                <w:rFonts w:hint="eastAsia" w:ascii="宋体" w:hAnsi="宋体" w:cs="宋体"/>
                <w:kern w:val="0"/>
                <w:szCs w:val="21"/>
                <w:lang w:val="zh-CN"/>
              </w:rPr>
              <w:t>2万</w:t>
            </w:r>
            <w:r>
              <w:rPr>
                <w:rFonts w:hint="eastAsia" w:ascii="宋体" w:hAnsi="宋体" w:cs="宋体"/>
                <w:szCs w:val="21"/>
              </w:rPr>
              <w:t>㎡～</w:t>
            </w:r>
            <w:r>
              <w:rPr>
                <w:rFonts w:hint="eastAsia" w:ascii="宋体" w:hAnsi="宋体" w:cs="宋体"/>
                <w:kern w:val="0"/>
                <w:szCs w:val="21"/>
                <w:lang w:val="zh-CN"/>
              </w:rPr>
              <w:t>2.5万</w:t>
            </w:r>
            <w:r>
              <w:rPr>
                <w:rFonts w:hint="eastAsia" w:ascii="宋体" w:hAnsi="宋体" w:cs="宋体"/>
                <w:szCs w:val="21"/>
              </w:rPr>
              <w:t>㎡</w:t>
            </w: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（房屋建筑面积）</w:t>
            </w: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但至少配置2人</w:t>
            </w:r>
          </w:p>
        </w:tc>
        <w:tc>
          <w:tcPr>
            <w:tcW w:w="3364" w:type="dxa"/>
            <w:noWrap w:val="0"/>
            <w:vAlign w:val="center"/>
          </w:tcPr>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1人／</w:t>
            </w:r>
            <w:r>
              <w:rPr>
                <w:rFonts w:hint="eastAsia" w:ascii="宋体" w:hAnsi="宋体" w:cs="宋体"/>
                <w:kern w:val="0"/>
                <w:szCs w:val="21"/>
                <w:lang w:val="zh-CN"/>
              </w:rPr>
              <w:t>2万</w:t>
            </w:r>
            <w:r>
              <w:rPr>
                <w:rFonts w:hint="eastAsia" w:ascii="宋体" w:hAnsi="宋体" w:cs="宋体"/>
                <w:szCs w:val="21"/>
              </w:rPr>
              <w:t>㎡～</w:t>
            </w:r>
            <w:r>
              <w:rPr>
                <w:rFonts w:hint="eastAsia" w:ascii="宋体" w:hAnsi="宋体" w:cs="宋体"/>
                <w:kern w:val="0"/>
                <w:szCs w:val="21"/>
                <w:lang w:val="zh-CN"/>
              </w:rPr>
              <w:t>2.5万</w:t>
            </w:r>
            <w:r>
              <w:rPr>
                <w:rFonts w:hint="eastAsia" w:ascii="宋体" w:hAnsi="宋体" w:cs="宋体"/>
                <w:szCs w:val="21"/>
              </w:rPr>
              <w:t>㎡</w:t>
            </w: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（房屋建筑面积）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66" w:type="dxa"/>
            <w:vMerge w:val="restart"/>
            <w:noWrap w:val="0"/>
            <w:vAlign w:val="center"/>
          </w:tcPr>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B</w:t>
            </w:r>
          </w:p>
          <w:p>
            <w:pPr>
              <w:tabs>
                <w:tab w:val="left" w:pos="540"/>
                <w:tab w:val="left" w:pos="1080"/>
              </w:tabs>
              <w:snapToGrid w:val="0"/>
              <w:ind w:firstLine="420" w:firstLineChars="200"/>
              <w:jc w:val="center"/>
              <w:rPr>
                <w:rFonts w:hint="eastAsia" w:ascii="宋体" w:hAnsi="宋体" w:cs="宋体"/>
                <w:szCs w:val="21"/>
              </w:rPr>
            </w:pP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级</w:t>
            </w:r>
          </w:p>
          <w:p>
            <w:pPr>
              <w:tabs>
                <w:tab w:val="left" w:pos="540"/>
                <w:tab w:val="left" w:pos="1080"/>
              </w:tabs>
              <w:snapToGrid w:val="0"/>
              <w:ind w:firstLine="420" w:firstLineChars="200"/>
              <w:jc w:val="center"/>
              <w:rPr>
                <w:rFonts w:hint="eastAsia" w:ascii="宋体" w:hAnsi="宋体" w:cs="宋体"/>
                <w:szCs w:val="21"/>
              </w:rPr>
            </w:pP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服</w:t>
            </w:r>
          </w:p>
          <w:p>
            <w:pPr>
              <w:tabs>
                <w:tab w:val="left" w:pos="540"/>
                <w:tab w:val="left" w:pos="1080"/>
              </w:tabs>
              <w:snapToGrid w:val="0"/>
              <w:ind w:firstLine="420" w:firstLineChars="200"/>
              <w:jc w:val="center"/>
              <w:rPr>
                <w:rFonts w:hint="eastAsia" w:ascii="宋体" w:hAnsi="宋体" w:cs="宋体"/>
                <w:szCs w:val="21"/>
              </w:rPr>
            </w:pP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务</w:t>
            </w:r>
          </w:p>
        </w:tc>
        <w:tc>
          <w:tcPr>
            <w:tcW w:w="1665" w:type="dxa"/>
            <w:noWrap w:val="0"/>
            <w:vAlign w:val="center"/>
          </w:tcPr>
          <w:p>
            <w:pPr>
              <w:tabs>
                <w:tab w:val="left" w:pos="540"/>
                <w:tab w:val="left" w:pos="1080"/>
              </w:tabs>
              <w:snapToGrid w:val="0"/>
              <w:jc w:val="center"/>
              <w:rPr>
                <w:rFonts w:hint="eastAsia" w:ascii="宋体" w:hAnsi="宋体" w:cs="宋体"/>
                <w:szCs w:val="21"/>
              </w:rPr>
            </w:pPr>
            <w:r>
              <w:rPr>
                <w:rFonts w:hint="eastAsia" w:ascii="宋体" w:hAnsi="宋体" w:cs="宋体"/>
                <w:szCs w:val="21"/>
              </w:rPr>
              <w:t>客服</w:t>
            </w:r>
          </w:p>
        </w:tc>
        <w:tc>
          <w:tcPr>
            <w:tcW w:w="3379" w:type="dxa"/>
            <w:noWrap w:val="0"/>
            <w:vAlign w:val="center"/>
          </w:tcPr>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2人</w:t>
            </w:r>
          </w:p>
        </w:tc>
        <w:tc>
          <w:tcPr>
            <w:tcW w:w="3364" w:type="dxa"/>
            <w:noWrap w:val="0"/>
            <w:vAlign w:val="center"/>
          </w:tcPr>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1人／500户～600户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66" w:type="dxa"/>
            <w:vMerge w:val="continue"/>
            <w:noWrap w:val="0"/>
            <w:vAlign w:val="center"/>
          </w:tcPr>
          <w:p>
            <w:pPr>
              <w:tabs>
                <w:tab w:val="left" w:pos="540"/>
                <w:tab w:val="left" w:pos="1080"/>
              </w:tabs>
              <w:snapToGrid w:val="0"/>
              <w:ind w:firstLine="420" w:firstLineChars="200"/>
              <w:jc w:val="center"/>
              <w:rPr>
                <w:rFonts w:hint="eastAsia" w:ascii="宋体" w:hAnsi="宋体" w:cs="宋体"/>
                <w:szCs w:val="21"/>
              </w:rPr>
            </w:pPr>
          </w:p>
        </w:tc>
        <w:tc>
          <w:tcPr>
            <w:tcW w:w="1665" w:type="dxa"/>
            <w:noWrap w:val="0"/>
            <w:vAlign w:val="center"/>
          </w:tcPr>
          <w:p>
            <w:pPr>
              <w:tabs>
                <w:tab w:val="left" w:pos="540"/>
                <w:tab w:val="left" w:pos="1080"/>
              </w:tabs>
              <w:snapToGrid w:val="0"/>
              <w:jc w:val="center"/>
              <w:rPr>
                <w:rFonts w:hint="eastAsia" w:ascii="宋体" w:hAnsi="宋体" w:cs="宋体"/>
                <w:szCs w:val="21"/>
              </w:rPr>
            </w:pPr>
            <w:r>
              <w:rPr>
                <w:rFonts w:hint="eastAsia" w:ascii="宋体" w:hAnsi="宋体" w:cs="宋体"/>
                <w:szCs w:val="21"/>
              </w:rPr>
              <w:t>保洁</w:t>
            </w:r>
          </w:p>
        </w:tc>
        <w:tc>
          <w:tcPr>
            <w:tcW w:w="3379" w:type="dxa"/>
            <w:noWrap w:val="0"/>
            <w:vAlign w:val="center"/>
          </w:tcPr>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1人／1万㎡～1.2万㎡</w:t>
            </w: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（房屋建筑面积）</w:t>
            </w:r>
          </w:p>
        </w:tc>
        <w:tc>
          <w:tcPr>
            <w:tcW w:w="3364" w:type="dxa"/>
            <w:noWrap w:val="0"/>
            <w:vAlign w:val="center"/>
          </w:tcPr>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1人／1万㎡～1.2万㎡</w:t>
            </w: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（房屋建筑面积）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66" w:type="dxa"/>
            <w:vMerge w:val="continue"/>
            <w:noWrap w:val="0"/>
            <w:vAlign w:val="center"/>
          </w:tcPr>
          <w:p>
            <w:pPr>
              <w:tabs>
                <w:tab w:val="left" w:pos="540"/>
                <w:tab w:val="left" w:pos="1080"/>
              </w:tabs>
              <w:snapToGrid w:val="0"/>
              <w:ind w:firstLine="420" w:firstLineChars="200"/>
              <w:jc w:val="center"/>
              <w:rPr>
                <w:rFonts w:hint="eastAsia" w:ascii="宋体" w:hAnsi="宋体" w:cs="宋体"/>
                <w:szCs w:val="21"/>
              </w:rPr>
            </w:pPr>
          </w:p>
        </w:tc>
        <w:tc>
          <w:tcPr>
            <w:tcW w:w="1665" w:type="dxa"/>
            <w:noWrap w:val="0"/>
            <w:vAlign w:val="center"/>
          </w:tcPr>
          <w:p>
            <w:pPr>
              <w:tabs>
                <w:tab w:val="left" w:pos="540"/>
                <w:tab w:val="left" w:pos="1080"/>
              </w:tabs>
              <w:snapToGrid w:val="0"/>
              <w:jc w:val="center"/>
              <w:rPr>
                <w:rFonts w:hint="eastAsia" w:ascii="宋体" w:hAnsi="宋体" w:cs="宋体"/>
                <w:szCs w:val="21"/>
              </w:rPr>
            </w:pPr>
            <w:r>
              <w:rPr>
                <w:rFonts w:hint="eastAsia" w:ascii="宋体" w:hAnsi="宋体" w:cs="宋体"/>
                <w:szCs w:val="21"/>
              </w:rPr>
              <w:t>秩序维护人员</w:t>
            </w:r>
          </w:p>
        </w:tc>
        <w:tc>
          <w:tcPr>
            <w:tcW w:w="3379" w:type="dxa"/>
            <w:noWrap w:val="0"/>
            <w:vAlign w:val="center"/>
          </w:tcPr>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3～4人/门岗数</w:t>
            </w: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+1人／1万㎡～1.2万㎡</w:t>
            </w: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（房屋建筑面积）</w:t>
            </w:r>
          </w:p>
        </w:tc>
        <w:tc>
          <w:tcPr>
            <w:tcW w:w="3364" w:type="dxa"/>
            <w:noWrap w:val="0"/>
            <w:vAlign w:val="center"/>
          </w:tcPr>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3～4人/门岗数</w:t>
            </w: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+1人／1.2万㎡～1.5万㎡</w:t>
            </w: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（房屋建筑面积）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1166" w:type="dxa"/>
            <w:vMerge w:val="continue"/>
            <w:noWrap w:val="0"/>
            <w:vAlign w:val="center"/>
          </w:tcPr>
          <w:p>
            <w:pPr>
              <w:tabs>
                <w:tab w:val="left" w:pos="540"/>
                <w:tab w:val="left" w:pos="1080"/>
              </w:tabs>
              <w:snapToGrid w:val="0"/>
              <w:ind w:firstLine="420" w:firstLineChars="200"/>
              <w:jc w:val="center"/>
              <w:rPr>
                <w:rFonts w:hint="eastAsia" w:ascii="宋体" w:hAnsi="宋体" w:cs="宋体"/>
                <w:szCs w:val="21"/>
              </w:rPr>
            </w:pPr>
          </w:p>
        </w:tc>
        <w:tc>
          <w:tcPr>
            <w:tcW w:w="1665" w:type="dxa"/>
            <w:noWrap w:val="0"/>
            <w:vAlign w:val="center"/>
          </w:tcPr>
          <w:p>
            <w:pPr>
              <w:tabs>
                <w:tab w:val="left" w:pos="540"/>
                <w:tab w:val="left" w:pos="1080"/>
              </w:tabs>
              <w:snapToGrid w:val="0"/>
              <w:jc w:val="center"/>
              <w:rPr>
                <w:rFonts w:hint="eastAsia" w:ascii="宋体" w:hAnsi="宋体" w:cs="宋体"/>
                <w:szCs w:val="21"/>
              </w:rPr>
            </w:pPr>
            <w:r>
              <w:rPr>
                <w:rFonts w:hint="eastAsia" w:ascii="宋体" w:hAnsi="宋体" w:cs="宋体"/>
                <w:szCs w:val="21"/>
              </w:rPr>
              <w:t>绿化</w:t>
            </w:r>
          </w:p>
        </w:tc>
        <w:tc>
          <w:tcPr>
            <w:tcW w:w="3379" w:type="dxa"/>
            <w:noWrap w:val="0"/>
            <w:vAlign w:val="center"/>
          </w:tcPr>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1人</w:t>
            </w:r>
          </w:p>
        </w:tc>
        <w:tc>
          <w:tcPr>
            <w:tcW w:w="3364" w:type="dxa"/>
            <w:noWrap w:val="0"/>
            <w:vAlign w:val="center"/>
          </w:tcPr>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1人／1.5万㎡～2万㎡</w:t>
            </w: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（绿化面积）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166" w:type="dxa"/>
            <w:vMerge w:val="continue"/>
            <w:noWrap w:val="0"/>
            <w:vAlign w:val="center"/>
          </w:tcPr>
          <w:p>
            <w:pPr>
              <w:tabs>
                <w:tab w:val="left" w:pos="540"/>
                <w:tab w:val="left" w:pos="1080"/>
              </w:tabs>
              <w:snapToGrid w:val="0"/>
              <w:ind w:firstLine="420" w:firstLineChars="200"/>
              <w:jc w:val="center"/>
              <w:rPr>
                <w:rFonts w:hint="eastAsia" w:ascii="宋体" w:hAnsi="宋体" w:cs="宋体"/>
                <w:szCs w:val="21"/>
              </w:rPr>
            </w:pPr>
          </w:p>
        </w:tc>
        <w:tc>
          <w:tcPr>
            <w:tcW w:w="1665" w:type="dxa"/>
            <w:noWrap w:val="0"/>
            <w:vAlign w:val="center"/>
          </w:tcPr>
          <w:p>
            <w:pPr>
              <w:tabs>
                <w:tab w:val="left" w:pos="540"/>
                <w:tab w:val="left" w:pos="1080"/>
              </w:tabs>
              <w:snapToGrid w:val="0"/>
              <w:jc w:val="center"/>
              <w:rPr>
                <w:rFonts w:hint="eastAsia" w:ascii="宋体" w:hAnsi="宋体" w:cs="宋体"/>
                <w:szCs w:val="21"/>
              </w:rPr>
            </w:pPr>
            <w:r>
              <w:rPr>
                <w:rFonts w:hint="eastAsia" w:ascii="宋体" w:hAnsi="宋体" w:cs="宋体"/>
                <w:szCs w:val="21"/>
              </w:rPr>
              <w:t>维修</w:t>
            </w:r>
          </w:p>
        </w:tc>
        <w:tc>
          <w:tcPr>
            <w:tcW w:w="3379" w:type="dxa"/>
            <w:noWrap w:val="0"/>
            <w:vAlign w:val="center"/>
          </w:tcPr>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1人／</w:t>
            </w:r>
            <w:r>
              <w:rPr>
                <w:rFonts w:hint="eastAsia" w:ascii="宋体" w:hAnsi="宋体" w:cs="宋体"/>
                <w:kern w:val="0"/>
                <w:szCs w:val="21"/>
                <w:lang w:val="zh-CN"/>
              </w:rPr>
              <w:t>2</w:t>
            </w:r>
            <w:r>
              <w:rPr>
                <w:rFonts w:hint="eastAsia" w:ascii="宋体" w:hAnsi="宋体" w:cs="宋体"/>
                <w:kern w:val="0"/>
                <w:szCs w:val="21"/>
              </w:rPr>
              <w:t>.5</w:t>
            </w:r>
            <w:r>
              <w:rPr>
                <w:rFonts w:hint="eastAsia" w:ascii="宋体" w:hAnsi="宋体" w:cs="宋体"/>
                <w:kern w:val="0"/>
                <w:szCs w:val="21"/>
                <w:lang w:val="zh-CN"/>
              </w:rPr>
              <w:t>万</w:t>
            </w:r>
            <w:r>
              <w:rPr>
                <w:rFonts w:hint="eastAsia" w:ascii="宋体" w:hAnsi="宋体" w:cs="宋体"/>
                <w:szCs w:val="21"/>
              </w:rPr>
              <w:t>㎡～</w:t>
            </w:r>
            <w:r>
              <w:rPr>
                <w:rFonts w:hint="eastAsia" w:ascii="宋体" w:hAnsi="宋体" w:cs="宋体"/>
                <w:kern w:val="0"/>
                <w:szCs w:val="21"/>
              </w:rPr>
              <w:t>3</w:t>
            </w:r>
            <w:r>
              <w:rPr>
                <w:rFonts w:hint="eastAsia" w:ascii="宋体" w:hAnsi="宋体" w:cs="宋体"/>
                <w:kern w:val="0"/>
                <w:szCs w:val="21"/>
                <w:lang w:val="zh-CN"/>
              </w:rPr>
              <w:t>万</w:t>
            </w:r>
            <w:r>
              <w:rPr>
                <w:rFonts w:hint="eastAsia" w:ascii="宋体" w:hAnsi="宋体" w:cs="宋体"/>
                <w:szCs w:val="21"/>
              </w:rPr>
              <w:t>㎡</w:t>
            </w: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（房屋建筑面积）</w:t>
            </w: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但至少配置2人</w:t>
            </w:r>
          </w:p>
        </w:tc>
        <w:tc>
          <w:tcPr>
            <w:tcW w:w="3364" w:type="dxa"/>
            <w:noWrap w:val="0"/>
            <w:vAlign w:val="center"/>
          </w:tcPr>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1人／</w:t>
            </w:r>
            <w:r>
              <w:rPr>
                <w:rFonts w:hint="eastAsia" w:ascii="宋体" w:hAnsi="宋体" w:cs="宋体"/>
                <w:kern w:val="0"/>
                <w:szCs w:val="21"/>
                <w:lang w:val="zh-CN"/>
              </w:rPr>
              <w:t>2</w:t>
            </w:r>
            <w:r>
              <w:rPr>
                <w:rFonts w:hint="eastAsia" w:ascii="宋体" w:hAnsi="宋体" w:cs="宋体"/>
                <w:kern w:val="0"/>
                <w:szCs w:val="21"/>
              </w:rPr>
              <w:t>.5</w:t>
            </w:r>
            <w:r>
              <w:rPr>
                <w:rFonts w:hint="eastAsia" w:ascii="宋体" w:hAnsi="宋体" w:cs="宋体"/>
                <w:kern w:val="0"/>
                <w:szCs w:val="21"/>
                <w:lang w:val="zh-CN"/>
              </w:rPr>
              <w:t>万</w:t>
            </w:r>
            <w:r>
              <w:rPr>
                <w:rFonts w:hint="eastAsia" w:ascii="宋体" w:hAnsi="宋体" w:cs="宋体"/>
                <w:szCs w:val="21"/>
              </w:rPr>
              <w:t>㎡～</w:t>
            </w:r>
            <w:r>
              <w:rPr>
                <w:rFonts w:hint="eastAsia" w:ascii="宋体" w:hAnsi="宋体" w:cs="宋体"/>
                <w:kern w:val="0"/>
                <w:szCs w:val="21"/>
              </w:rPr>
              <w:t>3</w:t>
            </w:r>
            <w:r>
              <w:rPr>
                <w:rFonts w:hint="eastAsia" w:ascii="宋体" w:hAnsi="宋体" w:cs="宋体"/>
                <w:kern w:val="0"/>
                <w:szCs w:val="21"/>
                <w:lang w:val="zh-CN"/>
              </w:rPr>
              <w:t>万</w:t>
            </w:r>
            <w:r>
              <w:rPr>
                <w:rFonts w:hint="eastAsia" w:ascii="宋体" w:hAnsi="宋体" w:cs="宋体"/>
                <w:szCs w:val="21"/>
              </w:rPr>
              <w:t>㎡</w:t>
            </w:r>
          </w:p>
          <w:p>
            <w:pPr>
              <w:tabs>
                <w:tab w:val="left" w:pos="540"/>
                <w:tab w:val="left" w:pos="1080"/>
              </w:tabs>
              <w:snapToGrid w:val="0"/>
              <w:ind w:firstLine="420" w:firstLineChars="200"/>
              <w:jc w:val="center"/>
              <w:rPr>
                <w:rFonts w:hint="eastAsia" w:ascii="宋体" w:hAnsi="宋体" w:cs="宋体"/>
                <w:szCs w:val="21"/>
              </w:rPr>
            </w:pPr>
            <w:r>
              <w:rPr>
                <w:rFonts w:hint="eastAsia" w:ascii="宋体" w:hAnsi="宋体" w:cs="宋体"/>
                <w:szCs w:val="21"/>
              </w:rPr>
              <w:t>（房屋建筑面积）</w:t>
            </w:r>
          </w:p>
          <w:p>
            <w:pPr>
              <w:tabs>
                <w:tab w:val="left" w:pos="540"/>
                <w:tab w:val="left" w:pos="1080"/>
              </w:tabs>
              <w:snapToGrid w:val="0"/>
              <w:ind w:firstLine="420" w:firstLineChars="200"/>
              <w:jc w:val="center"/>
              <w:rPr>
                <w:rFonts w:hint="eastAsia" w:ascii="宋体" w:hAnsi="宋体" w:cs="宋体"/>
                <w:szCs w:val="21"/>
              </w:rPr>
            </w:pPr>
          </w:p>
        </w:tc>
      </w:tr>
    </w:tbl>
    <w:p>
      <w:pPr>
        <w:tabs>
          <w:tab w:val="left" w:pos="540"/>
          <w:tab w:val="left" w:pos="1080"/>
        </w:tabs>
        <w:ind w:firstLine="480" w:firstLineChars="200"/>
        <w:rPr>
          <w:rFonts w:hint="eastAsia" w:ascii="宋体" w:hAnsi="宋体" w:cs="宋体"/>
          <w:sz w:val="24"/>
          <w:szCs w:val="24"/>
        </w:rPr>
      </w:pPr>
      <w:r>
        <w:rPr>
          <w:rFonts w:hint="eastAsia" w:ascii="宋体" w:hAnsi="宋体" w:cs="宋体"/>
          <w:sz w:val="24"/>
          <w:szCs w:val="24"/>
        </w:rPr>
        <w:t xml:space="preserve"> </w:t>
      </w:r>
    </w:p>
    <w:p>
      <w:pPr>
        <w:tabs>
          <w:tab w:val="left" w:pos="540"/>
          <w:tab w:val="left" w:pos="1080"/>
        </w:tabs>
        <w:ind w:firstLine="480" w:firstLineChars="200"/>
        <w:jc w:val="center"/>
        <w:rPr>
          <w:rFonts w:hint="eastAsia" w:ascii="宋体" w:hAnsi="宋体" w:cs="宋体"/>
          <w:sz w:val="24"/>
          <w:szCs w:val="24"/>
        </w:rPr>
      </w:pPr>
      <w:r>
        <w:rPr>
          <w:rFonts w:hint="eastAsia" w:ascii="宋体" w:hAnsi="宋体" w:cs="宋体"/>
          <w:sz w:val="24"/>
          <w:szCs w:val="24"/>
        </w:rPr>
        <w:br w:type="page"/>
      </w:r>
      <w:r>
        <w:rPr>
          <w:rFonts w:hint="eastAsia" w:ascii="宋体" w:hAnsi="宋体" w:cs="宋体"/>
          <w:sz w:val="24"/>
          <w:szCs w:val="24"/>
        </w:rPr>
        <w:t>续表3.1.7</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2"/>
        <w:gridCol w:w="1667"/>
        <w:gridCol w:w="3045"/>
        <w:gridCol w:w="33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142" w:type="dxa"/>
            <w:noWrap w:val="0"/>
            <w:vAlign w:val="center"/>
          </w:tcPr>
          <w:p>
            <w:pPr>
              <w:jc w:val="center"/>
              <w:rPr>
                <w:rFonts w:hint="eastAsia" w:ascii="宋体" w:hAnsi="宋体" w:cs="宋体"/>
                <w:szCs w:val="21"/>
              </w:rPr>
            </w:pPr>
            <w:r>
              <w:rPr>
                <w:rFonts w:hint="eastAsia" w:ascii="宋体" w:hAnsi="宋体" w:cs="宋体"/>
                <w:szCs w:val="21"/>
              </w:rPr>
              <w:t>服务等级</w:t>
            </w:r>
          </w:p>
        </w:tc>
        <w:tc>
          <w:tcPr>
            <w:tcW w:w="1667" w:type="dxa"/>
            <w:noWrap w:val="0"/>
            <w:vAlign w:val="center"/>
          </w:tcPr>
          <w:p>
            <w:pPr>
              <w:tabs>
                <w:tab w:val="left" w:pos="540"/>
                <w:tab w:val="left" w:pos="1080"/>
              </w:tabs>
              <w:jc w:val="center"/>
              <w:rPr>
                <w:rFonts w:hint="eastAsia" w:ascii="宋体" w:hAnsi="宋体" w:cs="宋体"/>
                <w:szCs w:val="21"/>
              </w:rPr>
            </w:pPr>
            <w:r>
              <w:rPr>
                <w:rFonts w:hint="eastAsia" w:ascii="宋体" w:hAnsi="宋体" w:cs="宋体"/>
                <w:szCs w:val="21"/>
              </w:rPr>
              <w:t>服务岗位</w:t>
            </w:r>
          </w:p>
        </w:tc>
        <w:tc>
          <w:tcPr>
            <w:tcW w:w="3045" w:type="dxa"/>
            <w:noWrap w:val="0"/>
            <w:vAlign w:val="center"/>
          </w:tcPr>
          <w:p>
            <w:pPr>
              <w:tabs>
                <w:tab w:val="left" w:pos="540"/>
                <w:tab w:val="left" w:pos="1080"/>
              </w:tabs>
              <w:jc w:val="center"/>
              <w:rPr>
                <w:rFonts w:hint="eastAsia" w:ascii="宋体" w:hAnsi="宋体" w:cs="宋体"/>
                <w:szCs w:val="21"/>
              </w:rPr>
            </w:pPr>
            <w:r>
              <w:rPr>
                <w:rFonts w:hint="eastAsia" w:ascii="宋体" w:hAnsi="宋体" w:cs="宋体"/>
                <w:szCs w:val="21"/>
              </w:rPr>
              <w:t>房屋建筑面积≦10万㎡</w:t>
            </w:r>
          </w:p>
        </w:tc>
        <w:tc>
          <w:tcPr>
            <w:tcW w:w="3385" w:type="dxa"/>
            <w:noWrap w:val="0"/>
            <w:vAlign w:val="center"/>
          </w:tcPr>
          <w:p>
            <w:pPr>
              <w:tabs>
                <w:tab w:val="left" w:pos="540"/>
                <w:tab w:val="left" w:pos="1080"/>
              </w:tabs>
              <w:jc w:val="center"/>
              <w:rPr>
                <w:rFonts w:hint="eastAsia" w:ascii="宋体" w:hAnsi="宋体" w:cs="宋体"/>
                <w:szCs w:val="21"/>
              </w:rPr>
            </w:pPr>
            <w:r>
              <w:rPr>
                <w:rFonts w:hint="eastAsia" w:ascii="宋体" w:hAnsi="宋体" w:cs="宋体"/>
                <w:szCs w:val="21"/>
              </w:rPr>
              <w:t>房屋建筑面积&gt;10万㎡以上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142" w:type="dxa"/>
            <w:vMerge w:val="restart"/>
            <w:noWrap w:val="0"/>
            <w:vAlign w:val="center"/>
          </w:tcPr>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C</w:t>
            </w:r>
          </w:p>
          <w:p>
            <w:pPr>
              <w:tabs>
                <w:tab w:val="left" w:pos="540"/>
                <w:tab w:val="left" w:pos="1080"/>
              </w:tabs>
              <w:ind w:firstLine="420" w:firstLineChars="200"/>
              <w:jc w:val="center"/>
              <w:rPr>
                <w:rFonts w:hint="eastAsia" w:ascii="宋体" w:hAnsi="宋体" w:cs="宋体"/>
                <w:szCs w:val="21"/>
              </w:rPr>
            </w:pP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级</w:t>
            </w:r>
          </w:p>
          <w:p>
            <w:pPr>
              <w:tabs>
                <w:tab w:val="left" w:pos="540"/>
                <w:tab w:val="left" w:pos="1080"/>
              </w:tabs>
              <w:ind w:firstLine="420" w:firstLineChars="200"/>
              <w:jc w:val="center"/>
              <w:rPr>
                <w:rFonts w:hint="eastAsia" w:ascii="宋体" w:hAnsi="宋体" w:cs="宋体"/>
                <w:szCs w:val="21"/>
              </w:rPr>
            </w:pP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服</w:t>
            </w:r>
          </w:p>
          <w:p>
            <w:pPr>
              <w:tabs>
                <w:tab w:val="left" w:pos="540"/>
                <w:tab w:val="left" w:pos="1080"/>
              </w:tabs>
              <w:ind w:firstLine="420" w:firstLineChars="200"/>
              <w:jc w:val="center"/>
              <w:rPr>
                <w:rFonts w:hint="eastAsia" w:ascii="宋体" w:hAnsi="宋体" w:cs="宋体"/>
                <w:szCs w:val="21"/>
              </w:rPr>
            </w:pP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务</w:t>
            </w:r>
          </w:p>
        </w:tc>
        <w:tc>
          <w:tcPr>
            <w:tcW w:w="1667" w:type="dxa"/>
            <w:noWrap w:val="0"/>
            <w:vAlign w:val="center"/>
          </w:tcPr>
          <w:p>
            <w:pPr>
              <w:tabs>
                <w:tab w:val="left" w:pos="540"/>
                <w:tab w:val="left" w:pos="1080"/>
              </w:tabs>
              <w:jc w:val="center"/>
              <w:rPr>
                <w:rFonts w:hint="eastAsia" w:ascii="宋体" w:hAnsi="宋体" w:cs="宋体"/>
                <w:szCs w:val="21"/>
              </w:rPr>
            </w:pPr>
            <w:r>
              <w:rPr>
                <w:rFonts w:hint="eastAsia" w:ascii="宋体" w:hAnsi="宋体" w:cs="宋体"/>
                <w:szCs w:val="21"/>
              </w:rPr>
              <w:t>客服</w:t>
            </w:r>
          </w:p>
        </w:tc>
        <w:tc>
          <w:tcPr>
            <w:tcW w:w="3045" w:type="dxa"/>
            <w:noWrap w:val="0"/>
            <w:vAlign w:val="center"/>
          </w:tcPr>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1人</w:t>
            </w:r>
          </w:p>
        </w:tc>
        <w:tc>
          <w:tcPr>
            <w:tcW w:w="3385" w:type="dxa"/>
            <w:noWrap w:val="0"/>
            <w:vAlign w:val="center"/>
          </w:tcPr>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1人／600户～700户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142" w:type="dxa"/>
            <w:vMerge w:val="continue"/>
            <w:noWrap w:val="0"/>
            <w:vAlign w:val="center"/>
          </w:tcPr>
          <w:p>
            <w:pPr>
              <w:tabs>
                <w:tab w:val="left" w:pos="540"/>
                <w:tab w:val="left" w:pos="1080"/>
              </w:tabs>
              <w:ind w:firstLine="420" w:firstLineChars="200"/>
              <w:jc w:val="center"/>
              <w:rPr>
                <w:rFonts w:hint="eastAsia" w:ascii="宋体" w:hAnsi="宋体" w:cs="宋体"/>
                <w:szCs w:val="21"/>
              </w:rPr>
            </w:pPr>
          </w:p>
        </w:tc>
        <w:tc>
          <w:tcPr>
            <w:tcW w:w="1667" w:type="dxa"/>
            <w:noWrap w:val="0"/>
            <w:vAlign w:val="center"/>
          </w:tcPr>
          <w:p>
            <w:pPr>
              <w:tabs>
                <w:tab w:val="left" w:pos="540"/>
                <w:tab w:val="left" w:pos="1080"/>
              </w:tabs>
              <w:jc w:val="center"/>
              <w:rPr>
                <w:rFonts w:hint="eastAsia" w:ascii="宋体" w:hAnsi="宋体" w:cs="宋体"/>
                <w:szCs w:val="21"/>
              </w:rPr>
            </w:pPr>
            <w:r>
              <w:rPr>
                <w:rFonts w:hint="eastAsia" w:ascii="宋体" w:hAnsi="宋体" w:cs="宋体"/>
                <w:szCs w:val="21"/>
              </w:rPr>
              <w:t>保洁</w:t>
            </w:r>
          </w:p>
        </w:tc>
        <w:tc>
          <w:tcPr>
            <w:tcW w:w="3045" w:type="dxa"/>
            <w:noWrap w:val="0"/>
            <w:vAlign w:val="center"/>
          </w:tcPr>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1人／1.2万㎡～1.4万㎡</w:t>
            </w: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（房屋建筑面积）</w:t>
            </w:r>
          </w:p>
        </w:tc>
        <w:tc>
          <w:tcPr>
            <w:tcW w:w="3385" w:type="dxa"/>
            <w:noWrap w:val="0"/>
            <w:vAlign w:val="center"/>
          </w:tcPr>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1人／1.2万㎡～1.4万㎡</w:t>
            </w: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（房屋建筑面积）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42" w:type="dxa"/>
            <w:vMerge w:val="continue"/>
            <w:noWrap w:val="0"/>
            <w:vAlign w:val="center"/>
          </w:tcPr>
          <w:p>
            <w:pPr>
              <w:tabs>
                <w:tab w:val="left" w:pos="540"/>
                <w:tab w:val="left" w:pos="1080"/>
              </w:tabs>
              <w:ind w:firstLine="420" w:firstLineChars="200"/>
              <w:jc w:val="center"/>
              <w:rPr>
                <w:rFonts w:hint="eastAsia" w:ascii="宋体" w:hAnsi="宋体" w:cs="宋体"/>
                <w:szCs w:val="21"/>
              </w:rPr>
            </w:pPr>
          </w:p>
        </w:tc>
        <w:tc>
          <w:tcPr>
            <w:tcW w:w="1667" w:type="dxa"/>
            <w:noWrap w:val="0"/>
            <w:vAlign w:val="center"/>
          </w:tcPr>
          <w:p>
            <w:pPr>
              <w:tabs>
                <w:tab w:val="left" w:pos="540"/>
                <w:tab w:val="left" w:pos="1080"/>
              </w:tabs>
              <w:jc w:val="center"/>
              <w:rPr>
                <w:rFonts w:hint="eastAsia" w:ascii="宋体" w:hAnsi="宋体" w:cs="宋体"/>
                <w:szCs w:val="21"/>
              </w:rPr>
            </w:pPr>
            <w:r>
              <w:rPr>
                <w:rFonts w:hint="eastAsia" w:ascii="宋体" w:hAnsi="宋体" w:cs="宋体"/>
                <w:szCs w:val="21"/>
              </w:rPr>
              <w:t>秩序维护人员</w:t>
            </w:r>
          </w:p>
        </w:tc>
        <w:tc>
          <w:tcPr>
            <w:tcW w:w="3045" w:type="dxa"/>
            <w:noWrap w:val="0"/>
            <w:vAlign w:val="center"/>
          </w:tcPr>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3～4人/门岗数</w:t>
            </w: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+1人／1.2万㎡～1.5万㎡</w:t>
            </w: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（房屋建筑面积）</w:t>
            </w:r>
          </w:p>
        </w:tc>
        <w:tc>
          <w:tcPr>
            <w:tcW w:w="3385" w:type="dxa"/>
            <w:noWrap w:val="0"/>
            <w:vAlign w:val="center"/>
          </w:tcPr>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3～4人/门岗数</w:t>
            </w: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1人／1.2万㎡～1.5万㎡</w:t>
            </w: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（房屋建筑面积）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1142" w:type="dxa"/>
            <w:vMerge w:val="continue"/>
            <w:noWrap w:val="0"/>
            <w:vAlign w:val="center"/>
          </w:tcPr>
          <w:p>
            <w:pPr>
              <w:tabs>
                <w:tab w:val="left" w:pos="540"/>
                <w:tab w:val="left" w:pos="1080"/>
              </w:tabs>
              <w:ind w:firstLine="420" w:firstLineChars="200"/>
              <w:jc w:val="center"/>
              <w:rPr>
                <w:rFonts w:hint="eastAsia" w:ascii="宋体" w:hAnsi="宋体" w:cs="宋体"/>
                <w:szCs w:val="21"/>
              </w:rPr>
            </w:pPr>
          </w:p>
        </w:tc>
        <w:tc>
          <w:tcPr>
            <w:tcW w:w="1667" w:type="dxa"/>
            <w:noWrap w:val="0"/>
            <w:vAlign w:val="center"/>
          </w:tcPr>
          <w:p>
            <w:pPr>
              <w:tabs>
                <w:tab w:val="left" w:pos="540"/>
                <w:tab w:val="left" w:pos="1080"/>
              </w:tabs>
              <w:jc w:val="center"/>
              <w:rPr>
                <w:rFonts w:hint="eastAsia" w:ascii="宋体" w:hAnsi="宋体" w:cs="宋体"/>
                <w:szCs w:val="21"/>
              </w:rPr>
            </w:pPr>
            <w:r>
              <w:rPr>
                <w:rFonts w:hint="eastAsia" w:ascii="宋体" w:hAnsi="宋体" w:cs="宋体"/>
                <w:szCs w:val="21"/>
              </w:rPr>
              <w:t>绿化</w:t>
            </w:r>
          </w:p>
        </w:tc>
        <w:tc>
          <w:tcPr>
            <w:tcW w:w="3045" w:type="dxa"/>
            <w:noWrap w:val="0"/>
            <w:vAlign w:val="center"/>
          </w:tcPr>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1人</w:t>
            </w:r>
          </w:p>
        </w:tc>
        <w:tc>
          <w:tcPr>
            <w:tcW w:w="3385" w:type="dxa"/>
            <w:noWrap w:val="0"/>
            <w:vAlign w:val="center"/>
          </w:tcPr>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1人／2万㎡～2.5万㎡</w:t>
            </w: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（绿化面积）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142" w:type="dxa"/>
            <w:vMerge w:val="continue"/>
            <w:noWrap w:val="0"/>
            <w:vAlign w:val="center"/>
          </w:tcPr>
          <w:p>
            <w:pPr>
              <w:tabs>
                <w:tab w:val="left" w:pos="540"/>
                <w:tab w:val="left" w:pos="1080"/>
              </w:tabs>
              <w:ind w:firstLine="420" w:firstLineChars="200"/>
              <w:jc w:val="center"/>
              <w:rPr>
                <w:rFonts w:hint="eastAsia" w:ascii="宋体" w:hAnsi="宋体" w:cs="宋体"/>
                <w:szCs w:val="21"/>
              </w:rPr>
            </w:pPr>
          </w:p>
        </w:tc>
        <w:tc>
          <w:tcPr>
            <w:tcW w:w="1667" w:type="dxa"/>
            <w:noWrap w:val="0"/>
            <w:vAlign w:val="center"/>
          </w:tcPr>
          <w:p>
            <w:pPr>
              <w:tabs>
                <w:tab w:val="left" w:pos="540"/>
                <w:tab w:val="left" w:pos="1080"/>
              </w:tabs>
              <w:jc w:val="center"/>
              <w:rPr>
                <w:rFonts w:hint="eastAsia" w:ascii="宋体" w:hAnsi="宋体" w:cs="宋体"/>
                <w:szCs w:val="21"/>
              </w:rPr>
            </w:pPr>
            <w:r>
              <w:rPr>
                <w:rFonts w:hint="eastAsia" w:ascii="宋体" w:hAnsi="宋体" w:cs="宋体"/>
                <w:szCs w:val="21"/>
              </w:rPr>
              <w:t>维修</w:t>
            </w:r>
          </w:p>
        </w:tc>
        <w:tc>
          <w:tcPr>
            <w:tcW w:w="3045" w:type="dxa"/>
            <w:noWrap w:val="0"/>
            <w:vAlign w:val="center"/>
          </w:tcPr>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1人／</w:t>
            </w:r>
            <w:r>
              <w:rPr>
                <w:rFonts w:hint="eastAsia" w:ascii="宋体" w:hAnsi="宋体" w:cs="宋体"/>
                <w:kern w:val="0"/>
                <w:szCs w:val="21"/>
              </w:rPr>
              <w:t>3</w:t>
            </w:r>
            <w:r>
              <w:rPr>
                <w:rFonts w:hint="eastAsia" w:ascii="宋体" w:hAnsi="宋体" w:cs="宋体"/>
                <w:kern w:val="0"/>
                <w:szCs w:val="21"/>
                <w:lang w:val="zh-CN"/>
              </w:rPr>
              <w:t>万</w:t>
            </w:r>
            <w:r>
              <w:rPr>
                <w:rFonts w:hint="eastAsia" w:ascii="宋体" w:hAnsi="宋体" w:cs="宋体"/>
                <w:szCs w:val="21"/>
              </w:rPr>
              <w:t>㎡～</w:t>
            </w:r>
            <w:r>
              <w:rPr>
                <w:rFonts w:hint="eastAsia" w:ascii="宋体" w:hAnsi="宋体" w:cs="宋体"/>
                <w:kern w:val="0"/>
                <w:szCs w:val="21"/>
              </w:rPr>
              <w:t>3.5</w:t>
            </w:r>
            <w:r>
              <w:rPr>
                <w:rFonts w:hint="eastAsia" w:ascii="宋体" w:hAnsi="宋体" w:cs="宋体"/>
                <w:kern w:val="0"/>
                <w:szCs w:val="21"/>
                <w:lang w:val="zh-CN"/>
              </w:rPr>
              <w:t>万</w:t>
            </w:r>
            <w:r>
              <w:rPr>
                <w:rFonts w:hint="eastAsia" w:ascii="宋体" w:hAnsi="宋体" w:cs="宋体"/>
                <w:szCs w:val="21"/>
              </w:rPr>
              <w:t>㎡</w:t>
            </w: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（房屋建筑面积）</w:t>
            </w: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但至少配置2人</w:t>
            </w:r>
          </w:p>
        </w:tc>
        <w:tc>
          <w:tcPr>
            <w:tcW w:w="3385" w:type="dxa"/>
            <w:noWrap w:val="0"/>
            <w:vAlign w:val="center"/>
          </w:tcPr>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1人／</w:t>
            </w:r>
            <w:r>
              <w:rPr>
                <w:rFonts w:hint="eastAsia" w:ascii="宋体" w:hAnsi="宋体" w:cs="宋体"/>
                <w:kern w:val="0"/>
                <w:szCs w:val="21"/>
              </w:rPr>
              <w:t>3</w:t>
            </w:r>
            <w:r>
              <w:rPr>
                <w:rFonts w:hint="eastAsia" w:ascii="宋体" w:hAnsi="宋体" w:cs="宋体"/>
                <w:kern w:val="0"/>
                <w:szCs w:val="21"/>
                <w:lang w:val="zh-CN"/>
              </w:rPr>
              <w:t>万</w:t>
            </w:r>
            <w:r>
              <w:rPr>
                <w:rFonts w:hint="eastAsia" w:ascii="宋体" w:hAnsi="宋体" w:cs="宋体"/>
                <w:szCs w:val="21"/>
              </w:rPr>
              <w:t>㎡～</w:t>
            </w:r>
            <w:r>
              <w:rPr>
                <w:rFonts w:hint="eastAsia" w:ascii="宋体" w:hAnsi="宋体" w:cs="宋体"/>
                <w:kern w:val="0"/>
                <w:szCs w:val="21"/>
              </w:rPr>
              <w:t>3.5</w:t>
            </w:r>
            <w:r>
              <w:rPr>
                <w:rFonts w:hint="eastAsia" w:ascii="宋体" w:hAnsi="宋体" w:cs="宋体"/>
                <w:kern w:val="0"/>
                <w:szCs w:val="21"/>
                <w:lang w:val="zh-CN"/>
              </w:rPr>
              <w:t>万</w:t>
            </w:r>
            <w:r>
              <w:rPr>
                <w:rFonts w:hint="eastAsia" w:ascii="宋体" w:hAnsi="宋体" w:cs="宋体"/>
                <w:szCs w:val="21"/>
              </w:rPr>
              <w:t>㎡</w:t>
            </w: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（房屋建筑面积）</w:t>
            </w:r>
          </w:p>
          <w:p>
            <w:pPr>
              <w:tabs>
                <w:tab w:val="left" w:pos="540"/>
                <w:tab w:val="left" w:pos="1080"/>
              </w:tabs>
              <w:ind w:firstLine="420" w:firstLineChars="200"/>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42" w:type="dxa"/>
            <w:vMerge w:val="restart"/>
            <w:noWrap w:val="0"/>
            <w:vAlign w:val="center"/>
          </w:tcPr>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D</w:t>
            </w:r>
          </w:p>
          <w:p>
            <w:pPr>
              <w:tabs>
                <w:tab w:val="left" w:pos="540"/>
                <w:tab w:val="left" w:pos="1080"/>
              </w:tabs>
              <w:ind w:firstLine="420" w:firstLineChars="200"/>
              <w:jc w:val="center"/>
              <w:rPr>
                <w:rFonts w:hint="eastAsia" w:ascii="宋体" w:hAnsi="宋体" w:cs="宋体"/>
                <w:szCs w:val="21"/>
              </w:rPr>
            </w:pP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级</w:t>
            </w:r>
          </w:p>
          <w:p>
            <w:pPr>
              <w:tabs>
                <w:tab w:val="left" w:pos="540"/>
                <w:tab w:val="left" w:pos="1080"/>
              </w:tabs>
              <w:ind w:firstLine="420" w:firstLineChars="200"/>
              <w:jc w:val="center"/>
              <w:rPr>
                <w:rFonts w:hint="eastAsia" w:ascii="宋体" w:hAnsi="宋体" w:cs="宋体"/>
                <w:szCs w:val="21"/>
              </w:rPr>
            </w:pP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服</w:t>
            </w:r>
          </w:p>
          <w:p>
            <w:pPr>
              <w:tabs>
                <w:tab w:val="left" w:pos="540"/>
                <w:tab w:val="left" w:pos="1080"/>
              </w:tabs>
              <w:ind w:firstLine="420" w:firstLineChars="200"/>
              <w:jc w:val="center"/>
              <w:rPr>
                <w:rFonts w:hint="eastAsia" w:ascii="宋体" w:hAnsi="宋体" w:cs="宋体"/>
                <w:szCs w:val="21"/>
              </w:rPr>
            </w:pP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务</w:t>
            </w:r>
          </w:p>
        </w:tc>
        <w:tc>
          <w:tcPr>
            <w:tcW w:w="1667" w:type="dxa"/>
            <w:noWrap w:val="0"/>
            <w:vAlign w:val="center"/>
          </w:tcPr>
          <w:p>
            <w:pPr>
              <w:tabs>
                <w:tab w:val="left" w:pos="540"/>
                <w:tab w:val="left" w:pos="1080"/>
              </w:tabs>
              <w:jc w:val="center"/>
              <w:rPr>
                <w:rFonts w:hint="eastAsia" w:ascii="宋体" w:hAnsi="宋体" w:cs="宋体"/>
                <w:szCs w:val="21"/>
              </w:rPr>
            </w:pPr>
            <w:r>
              <w:rPr>
                <w:rFonts w:hint="eastAsia" w:ascii="宋体" w:hAnsi="宋体" w:cs="宋体"/>
                <w:szCs w:val="21"/>
              </w:rPr>
              <w:t>客服</w:t>
            </w:r>
          </w:p>
        </w:tc>
        <w:tc>
          <w:tcPr>
            <w:tcW w:w="3045" w:type="dxa"/>
            <w:noWrap w:val="0"/>
            <w:vAlign w:val="center"/>
          </w:tcPr>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1人</w:t>
            </w:r>
          </w:p>
        </w:tc>
        <w:tc>
          <w:tcPr>
            <w:tcW w:w="3385" w:type="dxa"/>
            <w:noWrap w:val="0"/>
            <w:vAlign w:val="center"/>
          </w:tcPr>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1人／700户～800户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42" w:type="dxa"/>
            <w:vMerge w:val="continue"/>
            <w:noWrap w:val="0"/>
            <w:vAlign w:val="center"/>
          </w:tcPr>
          <w:p>
            <w:pPr>
              <w:tabs>
                <w:tab w:val="left" w:pos="540"/>
                <w:tab w:val="left" w:pos="1080"/>
              </w:tabs>
              <w:ind w:firstLine="420" w:firstLineChars="200"/>
              <w:jc w:val="center"/>
              <w:rPr>
                <w:rFonts w:hint="eastAsia" w:ascii="宋体" w:hAnsi="宋体" w:cs="宋体"/>
                <w:szCs w:val="21"/>
              </w:rPr>
            </w:pPr>
          </w:p>
        </w:tc>
        <w:tc>
          <w:tcPr>
            <w:tcW w:w="1667" w:type="dxa"/>
            <w:noWrap w:val="0"/>
            <w:vAlign w:val="center"/>
          </w:tcPr>
          <w:p>
            <w:pPr>
              <w:tabs>
                <w:tab w:val="left" w:pos="540"/>
                <w:tab w:val="left" w:pos="1080"/>
              </w:tabs>
              <w:jc w:val="center"/>
              <w:rPr>
                <w:rFonts w:hint="eastAsia" w:ascii="宋体" w:hAnsi="宋体" w:cs="宋体"/>
                <w:szCs w:val="21"/>
              </w:rPr>
            </w:pPr>
            <w:r>
              <w:rPr>
                <w:rFonts w:hint="eastAsia" w:ascii="宋体" w:hAnsi="宋体" w:cs="宋体"/>
                <w:szCs w:val="21"/>
              </w:rPr>
              <w:t>保洁</w:t>
            </w:r>
          </w:p>
        </w:tc>
        <w:tc>
          <w:tcPr>
            <w:tcW w:w="3045" w:type="dxa"/>
            <w:noWrap w:val="0"/>
            <w:vAlign w:val="center"/>
          </w:tcPr>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1人／1.4万㎡～1.6万㎡</w:t>
            </w: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（房屋建筑面积）</w:t>
            </w:r>
          </w:p>
        </w:tc>
        <w:tc>
          <w:tcPr>
            <w:tcW w:w="3385" w:type="dxa"/>
            <w:noWrap w:val="0"/>
            <w:vAlign w:val="center"/>
          </w:tcPr>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1人／1.4万㎡～1.6万㎡</w:t>
            </w: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（房屋建筑面积）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42" w:type="dxa"/>
            <w:vMerge w:val="continue"/>
            <w:noWrap w:val="0"/>
            <w:vAlign w:val="center"/>
          </w:tcPr>
          <w:p>
            <w:pPr>
              <w:tabs>
                <w:tab w:val="left" w:pos="540"/>
                <w:tab w:val="left" w:pos="1080"/>
              </w:tabs>
              <w:ind w:firstLine="420" w:firstLineChars="200"/>
              <w:jc w:val="center"/>
              <w:rPr>
                <w:rFonts w:hint="eastAsia" w:ascii="宋体" w:hAnsi="宋体" w:cs="宋体"/>
                <w:szCs w:val="21"/>
              </w:rPr>
            </w:pPr>
          </w:p>
        </w:tc>
        <w:tc>
          <w:tcPr>
            <w:tcW w:w="1667" w:type="dxa"/>
            <w:noWrap w:val="0"/>
            <w:vAlign w:val="center"/>
          </w:tcPr>
          <w:p>
            <w:pPr>
              <w:tabs>
                <w:tab w:val="left" w:pos="540"/>
                <w:tab w:val="left" w:pos="1080"/>
              </w:tabs>
              <w:jc w:val="center"/>
              <w:rPr>
                <w:rFonts w:hint="eastAsia" w:ascii="宋体" w:hAnsi="宋体" w:cs="宋体"/>
                <w:szCs w:val="21"/>
              </w:rPr>
            </w:pPr>
            <w:r>
              <w:rPr>
                <w:rFonts w:hint="eastAsia" w:ascii="宋体" w:hAnsi="宋体" w:cs="宋体"/>
                <w:szCs w:val="21"/>
              </w:rPr>
              <w:t>秩序维护人员</w:t>
            </w:r>
          </w:p>
        </w:tc>
        <w:tc>
          <w:tcPr>
            <w:tcW w:w="3045" w:type="dxa"/>
            <w:noWrap w:val="0"/>
            <w:vAlign w:val="center"/>
          </w:tcPr>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3～4人/门岗数</w:t>
            </w: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+1人／1.5万㎡～2万㎡</w:t>
            </w: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（房屋建筑面积）</w:t>
            </w:r>
          </w:p>
        </w:tc>
        <w:tc>
          <w:tcPr>
            <w:tcW w:w="3385" w:type="dxa"/>
            <w:noWrap w:val="0"/>
            <w:vAlign w:val="center"/>
          </w:tcPr>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3～4人/门岗数</w:t>
            </w: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1人／1.5万㎡～2万㎡</w:t>
            </w: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（房屋建筑面积）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42" w:type="dxa"/>
            <w:vMerge w:val="continue"/>
            <w:noWrap w:val="0"/>
            <w:vAlign w:val="center"/>
          </w:tcPr>
          <w:p>
            <w:pPr>
              <w:tabs>
                <w:tab w:val="left" w:pos="540"/>
                <w:tab w:val="left" w:pos="1080"/>
              </w:tabs>
              <w:ind w:firstLine="420" w:firstLineChars="200"/>
              <w:jc w:val="center"/>
              <w:rPr>
                <w:rFonts w:hint="eastAsia" w:ascii="宋体" w:hAnsi="宋体" w:cs="宋体"/>
                <w:szCs w:val="21"/>
              </w:rPr>
            </w:pPr>
          </w:p>
        </w:tc>
        <w:tc>
          <w:tcPr>
            <w:tcW w:w="1667" w:type="dxa"/>
            <w:noWrap w:val="0"/>
            <w:vAlign w:val="center"/>
          </w:tcPr>
          <w:p>
            <w:pPr>
              <w:tabs>
                <w:tab w:val="left" w:pos="540"/>
                <w:tab w:val="left" w:pos="1080"/>
              </w:tabs>
              <w:jc w:val="center"/>
              <w:rPr>
                <w:rFonts w:hint="eastAsia" w:ascii="宋体" w:hAnsi="宋体" w:cs="宋体"/>
                <w:szCs w:val="21"/>
              </w:rPr>
            </w:pPr>
            <w:r>
              <w:rPr>
                <w:rFonts w:hint="eastAsia" w:ascii="宋体" w:hAnsi="宋体" w:cs="宋体"/>
                <w:szCs w:val="21"/>
              </w:rPr>
              <w:t>绿化</w:t>
            </w:r>
          </w:p>
        </w:tc>
        <w:tc>
          <w:tcPr>
            <w:tcW w:w="3045" w:type="dxa"/>
            <w:noWrap w:val="0"/>
            <w:vAlign w:val="center"/>
          </w:tcPr>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1人</w:t>
            </w:r>
          </w:p>
        </w:tc>
        <w:tc>
          <w:tcPr>
            <w:tcW w:w="3385" w:type="dxa"/>
            <w:noWrap w:val="0"/>
            <w:vAlign w:val="center"/>
          </w:tcPr>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1人／2.5万㎡～3万㎡</w:t>
            </w: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（绿化面积）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42" w:type="dxa"/>
            <w:vMerge w:val="continue"/>
            <w:noWrap w:val="0"/>
            <w:vAlign w:val="center"/>
          </w:tcPr>
          <w:p>
            <w:pPr>
              <w:tabs>
                <w:tab w:val="left" w:pos="540"/>
                <w:tab w:val="left" w:pos="1080"/>
              </w:tabs>
              <w:ind w:firstLine="420" w:firstLineChars="200"/>
              <w:jc w:val="center"/>
              <w:rPr>
                <w:rFonts w:hint="eastAsia" w:ascii="宋体" w:hAnsi="宋体" w:cs="宋体"/>
                <w:szCs w:val="21"/>
              </w:rPr>
            </w:pPr>
          </w:p>
        </w:tc>
        <w:tc>
          <w:tcPr>
            <w:tcW w:w="1667" w:type="dxa"/>
            <w:noWrap w:val="0"/>
            <w:vAlign w:val="center"/>
          </w:tcPr>
          <w:p>
            <w:pPr>
              <w:tabs>
                <w:tab w:val="left" w:pos="540"/>
                <w:tab w:val="left" w:pos="1080"/>
              </w:tabs>
              <w:jc w:val="center"/>
              <w:rPr>
                <w:rFonts w:hint="eastAsia" w:ascii="宋体" w:hAnsi="宋体" w:cs="宋体"/>
                <w:szCs w:val="21"/>
              </w:rPr>
            </w:pPr>
            <w:r>
              <w:rPr>
                <w:rFonts w:hint="eastAsia" w:ascii="宋体" w:hAnsi="宋体" w:cs="宋体"/>
                <w:szCs w:val="21"/>
              </w:rPr>
              <w:t>维修</w:t>
            </w:r>
          </w:p>
        </w:tc>
        <w:tc>
          <w:tcPr>
            <w:tcW w:w="3045" w:type="dxa"/>
            <w:noWrap w:val="0"/>
            <w:vAlign w:val="center"/>
          </w:tcPr>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1人／</w:t>
            </w:r>
            <w:r>
              <w:rPr>
                <w:rFonts w:hint="eastAsia" w:ascii="宋体" w:hAnsi="宋体" w:cs="宋体"/>
                <w:kern w:val="0"/>
                <w:szCs w:val="21"/>
              </w:rPr>
              <w:t>3.5</w:t>
            </w:r>
            <w:r>
              <w:rPr>
                <w:rFonts w:hint="eastAsia" w:ascii="宋体" w:hAnsi="宋体" w:cs="宋体"/>
                <w:kern w:val="0"/>
                <w:szCs w:val="21"/>
                <w:lang w:val="zh-CN"/>
              </w:rPr>
              <w:t>万</w:t>
            </w:r>
            <w:r>
              <w:rPr>
                <w:rFonts w:hint="eastAsia" w:ascii="宋体" w:hAnsi="宋体" w:cs="宋体"/>
                <w:szCs w:val="21"/>
              </w:rPr>
              <w:t>㎡～</w:t>
            </w:r>
            <w:r>
              <w:rPr>
                <w:rFonts w:hint="eastAsia" w:ascii="宋体" w:hAnsi="宋体" w:cs="宋体"/>
                <w:kern w:val="0"/>
                <w:szCs w:val="21"/>
              </w:rPr>
              <w:t>4</w:t>
            </w:r>
            <w:r>
              <w:rPr>
                <w:rFonts w:hint="eastAsia" w:ascii="宋体" w:hAnsi="宋体" w:cs="宋体"/>
                <w:kern w:val="0"/>
                <w:szCs w:val="21"/>
                <w:lang w:val="zh-CN"/>
              </w:rPr>
              <w:t>万</w:t>
            </w:r>
            <w:r>
              <w:rPr>
                <w:rFonts w:hint="eastAsia" w:ascii="宋体" w:hAnsi="宋体" w:cs="宋体"/>
                <w:szCs w:val="21"/>
              </w:rPr>
              <w:t>㎡</w:t>
            </w: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（房屋建筑面积）</w:t>
            </w: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但至少配置2人</w:t>
            </w:r>
          </w:p>
        </w:tc>
        <w:tc>
          <w:tcPr>
            <w:tcW w:w="3385" w:type="dxa"/>
            <w:noWrap w:val="0"/>
            <w:vAlign w:val="center"/>
          </w:tcPr>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1人／</w:t>
            </w:r>
            <w:r>
              <w:rPr>
                <w:rFonts w:hint="eastAsia" w:ascii="宋体" w:hAnsi="宋体" w:cs="宋体"/>
                <w:kern w:val="0"/>
                <w:szCs w:val="21"/>
              </w:rPr>
              <w:t>3.5</w:t>
            </w:r>
            <w:r>
              <w:rPr>
                <w:rFonts w:hint="eastAsia" w:ascii="宋体" w:hAnsi="宋体" w:cs="宋体"/>
                <w:kern w:val="0"/>
                <w:szCs w:val="21"/>
                <w:lang w:val="zh-CN"/>
              </w:rPr>
              <w:t>万</w:t>
            </w:r>
            <w:r>
              <w:rPr>
                <w:rFonts w:hint="eastAsia" w:ascii="宋体" w:hAnsi="宋体" w:cs="宋体"/>
                <w:szCs w:val="21"/>
              </w:rPr>
              <w:t>㎡～4</w:t>
            </w:r>
            <w:r>
              <w:rPr>
                <w:rFonts w:hint="eastAsia" w:ascii="宋体" w:hAnsi="宋体" w:cs="宋体"/>
                <w:kern w:val="0"/>
                <w:szCs w:val="21"/>
                <w:lang w:val="zh-CN"/>
              </w:rPr>
              <w:t>万</w:t>
            </w:r>
            <w:r>
              <w:rPr>
                <w:rFonts w:hint="eastAsia" w:ascii="宋体" w:hAnsi="宋体" w:cs="宋体"/>
                <w:szCs w:val="21"/>
              </w:rPr>
              <w:t>㎡</w:t>
            </w:r>
          </w:p>
          <w:p>
            <w:pPr>
              <w:tabs>
                <w:tab w:val="left" w:pos="540"/>
                <w:tab w:val="left" w:pos="1080"/>
              </w:tabs>
              <w:ind w:firstLine="420" w:firstLineChars="200"/>
              <w:jc w:val="center"/>
              <w:rPr>
                <w:rFonts w:hint="eastAsia" w:ascii="宋体" w:hAnsi="宋体" w:cs="宋体"/>
                <w:szCs w:val="21"/>
              </w:rPr>
            </w:pPr>
            <w:r>
              <w:rPr>
                <w:rFonts w:hint="eastAsia" w:ascii="宋体" w:hAnsi="宋体" w:cs="宋体"/>
                <w:szCs w:val="21"/>
              </w:rPr>
              <w:t>（房屋建筑面积）</w:t>
            </w:r>
          </w:p>
          <w:p>
            <w:pPr>
              <w:tabs>
                <w:tab w:val="left" w:pos="540"/>
                <w:tab w:val="left" w:pos="1080"/>
              </w:tabs>
              <w:ind w:firstLine="420" w:firstLineChars="200"/>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9239" w:type="dxa"/>
            <w:gridSpan w:val="4"/>
            <w:noWrap w:val="0"/>
            <w:vAlign w:val="center"/>
          </w:tcPr>
          <w:p>
            <w:pPr>
              <w:tabs>
                <w:tab w:val="left" w:pos="540"/>
                <w:tab w:val="left" w:pos="1080"/>
              </w:tabs>
              <w:ind w:firstLine="420" w:firstLineChars="200"/>
              <w:rPr>
                <w:rFonts w:hint="eastAsia" w:ascii="宋体" w:hAnsi="宋体" w:cs="宋体"/>
                <w:szCs w:val="21"/>
              </w:rPr>
            </w:pPr>
            <w:r>
              <w:rPr>
                <w:rFonts w:hint="eastAsia" w:ascii="宋体" w:hAnsi="宋体" w:cs="宋体"/>
                <w:szCs w:val="21"/>
              </w:rPr>
              <w:t>注：总建筑面积超过50万㎡以上的住宅小区各岗位人员配置可乘以0.9系数。</w:t>
            </w:r>
          </w:p>
        </w:tc>
      </w:tr>
    </w:tbl>
    <w:p>
      <w:pPr>
        <w:ind w:firstLine="480" w:firstLineChars="200"/>
        <w:rPr>
          <w:rFonts w:hint="eastAsia" w:ascii="宋体" w:hAnsi="宋体" w:cs="宋体"/>
          <w:sz w:val="24"/>
          <w:szCs w:val="24"/>
        </w:rPr>
      </w:pP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3.1.8  物业服务企业应建立员工培训制度，组织人员定期参加技能培训。</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3.2  制 度 建 设</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3.2.1  物业服务企业应根据物业项目的具体情况，制定服务方案和服务流程。</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3.2.2  物业服务企业应建立管理制度，按照合同约定和服务标准进行质量管理。</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3.2.3  物业服务企业应将岗位职责、操作流程等制度在服务场所明示。</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3.3  服务质量和风险控制</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3.3.1  物业服务企业宜成立质量内控制度，定期对服务质量进行检查与评价。</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3.3.2  物业服务企业宜通过第三方认证、行业内的检查和评比等活动，获得社会评价。</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3.3.3  业主满意度宜委托第三方进行测评。</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3.3.4  物业服务企业应将服务合同中的专项服务事项委托给专业服务性公司，但是不得将合同约定的全部事项委托给他人。</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3.3.5  物业服务企业应建立危机管理机制，对物业服务过程中可能产生的各类风险进行识别、评估、管控。</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3.3.6  物业服务企业宜购买公众责任险。</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3.4  应急预案</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3.4.1  物业服务企业应对本公司管理区域内可能发生洪涝等自然灾害，以及火灾、治安、公共卫生、电梯故障、停水、停电等突发事件制定应急预案。</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3.4.2  物业服务企业应定期组织相关人员对应急预案进行培训，每年组织不少于1次应急预案演练。</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3.4.3  突发事件发生时，物业服务企业应做好以下工作：</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应立即启动应急预案，及时报告业主委员会和有关部门，并协助采取相应措施；</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迅速展开指挥协调、信息报告、紧急处置、秩序维护、抢险救援、后勤保障、协助保护现场和证据等工作，防止事态扩大，尽可能减少破坏和损失程度，并配合相关部门做好善后工作。</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  撰写突发事件处理报告，内容包括处置过程、原因调查、结果评估、预案改进建议等，并向委托单位或相关行政主管部门报告。</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3.5  物业档案资料</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3.5.1  物业服务企业应建立完善的档案管理制度。</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3.5.0  物业服务企业应设立档案资料室，指定专人定期收集整理、归档保管档案资料，对业主资料保密。</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3.5.3  物业服务档案应涵盖物业基础资料、业主（物业使用人）资料、物业服务企业日常运行管理资料和信用资料等。</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3.5.4  物业服务合同终止时，物业服务企业应向委托单位移交档案资料。</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3.5.6  建设单位在办理物业承接手续时，应向物业服务企业移交物业资料。移交资料不全的，物业服务企业应及时与建设单位进行协调解决，必要时报告行政主管部门。</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3.6  标识管理</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3.6.1  物业服务企业应制定标识管理制度。</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3.6.2  物业服务企业应实行标识分类管理，建立台帐，定期维护，及时更新。</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3.6.3  物业服务企业应对房屋指示标识、设备设施（区域）标识、消防安全标识、道路交通标识、安全警示标识、公益标识等定期进行巡检和维护，并做好记录。</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3.6.4  物业服务企业应督促有关单位，在施工改造、维护保养现场以及危及人身安全的场所，应设置警示标识。</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jc w:val="center"/>
        <w:textAlignment w:val="auto"/>
        <w:rPr>
          <w:rFonts w:hint="eastAsia" w:ascii="宋体" w:hAnsi="宋体" w:cs="宋体"/>
          <w:sz w:val="24"/>
          <w:szCs w:val="24"/>
        </w:rPr>
      </w:pPr>
      <w:r>
        <w:rPr>
          <w:rFonts w:hint="eastAsia" w:ascii="宋体" w:hAnsi="宋体" w:cs="宋体"/>
          <w:sz w:val="24"/>
          <w:szCs w:val="24"/>
        </w:rPr>
        <w:t>4  承 接 查 验</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4.0.1  物业服务企业在承接物业项目时，应按照法律法规规定和物业服务合同的约定，对建设单位移交的资料进行清点和核查；对物业共用部分和共用设施设备和相关场地进行现场检查和验收，形成书面检查记录，并有建设单位和物业服务企业参加查验的人员签字确认。</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4.0.2  物业服务企业应自物业交接后30日内，将物业承接查验情况房地产行政主管部门办理备案手续，并将备案情况书面告知业主。</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jc w:val="center"/>
        <w:textAlignment w:val="auto"/>
        <w:rPr>
          <w:rFonts w:hint="eastAsia" w:ascii="宋体" w:hAnsi="宋体" w:cs="宋体"/>
          <w:sz w:val="24"/>
          <w:szCs w:val="24"/>
        </w:rPr>
      </w:pPr>
      <w:r>
        <w:rPr>
          <w:rFonts w:hint="eastAsia" w:ascii="宋体" w:hAnsi="宋体" w:cs="宋体"/>
          <w:sz w:val="24"/>
          <w:szCs w:val="24"/>
        </w:rPr>
        <w:t>5  客 户 服 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5.1  一 般 规 定</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5.1.1  物业服务企业应设置客户服务场所，保持场所整洁有序。</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5.1.2  物业服务企业应在接待场所公示服务电话，悬挂或张贴物业服务企业资质证书、项目经理照片，公示物业服务内容、收费标准等有关信息。</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5.1.3  物业服务企业可接受建设单位委托为业主入住提供相关服务。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5.1.4  物业服务企业应在住宅区显著位置设置宣传栏，配合做好公益性宣传。 涉及业主（物业使用人）正常生活的重要服务事项，应在主要出入口信息栏公告。</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5.1.5  物业服务企业应制定钥匙管理制度，指定专人管理钥匙，钥匙发放和领用应进行登记和定期进行清查，并记录存档。</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5.1.6  物业服务企业应建立报修管理制度。</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5.1.7  物业服务企业对服务合同约定范围内的投诉，应限时处理并回访。</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5.1.8  物业服务企业每年应不少于1次像业主委员会通报工作，听取意见和建议，可采取走访、召开恳谈会、开展问卷调查、信息交流等多种形式与业主（物业使用人）进行沟通。</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5.1.9  物业服务企业宜根据业主需求提供便民服务。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5.2  服务等级规定</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5.2.1  物业服务客服场所工作时间应有专人负责接待，其他时间应设值班人员。专人接待时间应不低于下列要求：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A级服务不少于12小时，节假日8小时；</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B级服务不少于10小时，节假日4小时；</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  C、D级服务不少于8小时，节假日应有人值班；</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5.2.2  物业服务企业进行维修与回访,应符合下列要求：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ab/>
      </w:r>
      <w:r>
        <w:rPr>
          <w:rFonts w:hint="eastAsia" w:ascii="宋体" w:hAnsi="宋体" w:cs="宋体"/>
          <w:sz w:val="24"/>
          <w:szCs w:val="24"/>
        </w:rPr>
        <w:t>1  紧急维修</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ab/>
      </w:r>
      <w:r>
        <w:rPr>
          <w:rFonts w:hint="eastAsia" w:ascii="宋体" w:hAnsi="宋体" w:cs="宋体"/>
          <w:sz w:val="24"/>
          <w:szCs w:val="24"/>
        </w:rPr>
        <w:t>1） A、B级服务20分钟内达现场, C、D级服务30分钟内到达现场。组织或协助有关单位进行抢修，如不能及时抢修完成的，应采取应急措施，并告知业主（物业使用人）。</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ab/>
      </w:r>
      <w:r>
        <w:rPr>
          <w:rFonts w:hint="eastAsia" w:ascii="宋体" w:hAnsi="宋体" w:cs="宋体"/>
          <w:sz w:val="24"/>
          <w:szCs w:val="24"/>
        </w:rPr>
        <w:t>2  一般维修： A、B级服务2日内修复， C、D级服务5日内修复。</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ab/>
      </w:r>
      <w:r>
        <w:rPr>
          <w:rFonts w:hint="eastAsia" w:ascii="宋体" w:hAnsi="宋体" w:cs="宋体"/>
          <w:sz w:val="24"/>
          <w:szCs w:val="24"/>
        </w:rPr>
        <w:t>3  入户维修：按约定时限到达现场并组织维修或采取必要的处理措施；</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ab/>
      </w:r>
      <w:r>
        <w:rPr>
          <w:rFonts w:hint="eastAsia" w:ascii="宋体" w:hAnsi="宋体" w:cs="宋体"/>
          <w:sz w:val="24"/>
          <w:szCs w:val="24"/>
        </w:rPr>
        <w:t>4  业主报修的，服务维修回访率达100%； A、B级服务维修满意率达90%以上； C、D级服务维修满意率达80%以上。</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5.2.3  物业服务企业对业主（物业使用人）的建议、意见和投诉应在1个工作日内进行答复。</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5.2.4  物业服务企业每年至少向业主（物业使用人）进行1次物业服务意见征询，统计满意率，汇总分析意见和建议。业主（物业使用人）满意率应符合下列要求：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w:t>
      </w:r>
      <w:r>
        <w:rPr>
          <w:rFonts w:hint="eastAsia" w:ascii="宋体" w:hAnsi="宋体" w:cs="宋体"/>
          <w:sz w:val="24"/>
          <w:szCs w:val="24"/>
        </w:rPr>
        <w:tab/>
      </w:r>
      <w:r>
        <w:rPr>
          <w:rFonts w:hint="eastAsia" w:ascii="宋体" w:hAnsi="宋体" w:cs="宋体"/>
          <w:sz w:val="24"/>
          <w:szCs w:val="24"/>
        </w:rPr>
        <w:t>A、B级80%以上；</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w:t>
      </w:r>
      <w:r>
        <w:rPr>
          <w:rFonts w:hint="eastAsia" w:ascii="宋体" w:hAnsi="宋体" w:cs="宋体"/>
          <w:sz w:val="24"/>
          <w:szCs w:val="24"/>
        </w:rPr>
        <w:tab/>
      </w:r>
      <w:r>
        <w:rPr>
          <w:rFonts w:hint="eastAsia" w:ascii="宋体" w:hAnsi="宋体" w:cs="宋体"/>
          <w:sz w:val="24"/>
          <w:szCs w:val="24"/>
        </w:rPr>
        <w:t xml:space="preserve">C 、D级70%以上； </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jc w:val="center"/>
        <w:textAlignment w:val="auto"/>
        <w:rPr>
          <w:rFonts w:hint="eastAsia" w:ascii="宋体" w:hAnsi="宋体" w:cs="宋体"/>
          <w:sz w:val="24"/>
          <w:szCs w:val="24"/>
        </w:rPr>
      </w:pPr>
      <w:r>
        <w:rPr>
          <w:rFonts w:hint="eastAsia" w:ascii="宋体" w:hAnsi="宋体" w:cs="宋体"/>
          <w:sz w:val="24"/>
          <w:szCs w:val="24"/>
        </w:rPr>
        <w:t>6  房屋共用部位管理</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6.1 一 般 规 定</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6.1.1  物业服务企业应制定房屋共用部位维修养护管理制度，建立台账，保持检查和维修养护记录完整。</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6.1.2  物业服务企业应根据房屋实际使用年限、使用状况，定期组织开展房屋共用部位的使用状况检查。</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6.1.3  物业服务企业应根据检查情况，制定房屋大、中修和更新改造计划，向业主大会（或业主委员）会提出书面报告。</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6.1.4  物业服务企业应于年末制定下年度房屋共用部位日常维修养护计划和方案。</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6.1.5  物业服务企业发现物业管理区域内私搭乱建和擅自改变房屋用途以及其他违反规划或管理规约额的，应及时及时进行劝阻，并报告相关主管部门。</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6.1.6  物业服务企业应与业主（物业使用人）及装饰装修企业三方共同签定住宅室内装饰装修管理服务协议和消防安全责任书，告知业主（物业使用人）及装修人员有关装饰装修的禁止行为、注意事项及垃圾堆放和清运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6.1.7  物业服务企业应巡查装修现场，发现影响房屋外观、危及房屋结构安全及拆改共用管线等损害公共利益的违规装修行为，应及时制止，并及时报告相关主管部门。</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6.1.8  室外墙面、共用门窗、走道、楼梯扶手应保持完好。地坪、地砖应保持基本平整。</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6.1.9  发生下列紧急情况时，物业服务企业应按照规定，立即采取措施，并制定维修方案，同时向业主委员会、相关主管部门报告：</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ab/>
      </w:r>
      <w:r>
        <w:rPr>
          <w:rFonts w:hint="eastAsia" w:ascii="宋体" w:hAnsi="宋体" w:cs="宋体"/>
          <w:sz w:val="24"/>
          <w:szCs w:val="24"/>
        </w:rPr>
        <w:t>1  电梯运行系统中涉及的设施设备损坏无法使用的，或存在安全隐患并由电梯检验检测机构出具书面意见书的；</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ab/>
      </w:r>
      <w:r>
        <w:rPr>
          <w:rFonts w:hint="eastAsia" w:ascii="宋体" w:hAnsi="宋体" w:cs="宋体"/>
          <w:sz w:val="24"/>
          <w:szCs w:val="24"/>
        </w:rPr>
        <w:t>2  消防、供电、供气、给排水设施设备发生故障无法使用应由业主负责维修的，或存在消防安全隐患并有消防部门出具整改通知书的；</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ab/>
      </w:r>
      <w:r>
        <w:rPr>
          <w:rFonts w:hint="eastAsia" w:ascii="宋体" w:hAnsi="宋体" w:cs="宋体"/>
          <w:sz w:val="24"/>
          <w:szCs w:val="24"/>
        </w:rPr>
        <w:t>3  屋面和外墙损坏、渗漏严重并有市、县政府确定的房屋管理部门出具证明的；</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ab/>
      </w:r>
      <w:r>
        <w:rPr>
          <w:rFonts w:hint="eastAsia" w:ascii="宋体" w:hAnsi="宋体" w:cs="宋体"/>
          <w:sz w:val="24"/>
          <w:szCs w:val="24"/>
        </w:rPr>
        <w:t>4  房屋外墙饰面脱落等危及人身安全并有房屋质量检测单位出具证明的；</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ab/>
      </w:r>
      <w:r>
        <w:rPr>
          <w:rFonts w:hint="eastAsia" w:ascii="宋体" w:hAnsi="宋体" w:cs="宋体"/>
          <w:sz w:val="24"/>
          <w:szCs w:val="24"/>
        </w:rPr>
        <w:t>5  其他经主管部门认定危及房屋安全的。</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6.1.10  台风、暴雨等预警信号发布后，物业服务企业应及时进行巡查。</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6.2  具体等级要求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 xml:space="preserve">6.2.1  物业服务企业应检查外墙面、屋檐等，按照责任范围进行维修养护，做好记录。检查频次应符合下列要求：   </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A级服务每月检查1次；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B级服务每季度检查不少于1次；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  C级服务每半年检查不少于1次；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4  D级服务每年检查不少于1次。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6.2.2  物业服务企业应检查房屋共用部位的门、窗、玻璃构件等，按照责任范围进行维修养护，做好记录。检查频次应不低于下列要求：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A、B级服务：每周巡查1次；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C级服务：每半月巡查1次；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  D级服务：每月巡查1次。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6.2.3  物业服务企业应检查房屋共用部位的室内地面、墙面、天棚，室外屋面、散水等，按照责任范围进行维修养护，做好记录。检查频次应符合下列要求：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A级服务：每月1次；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B级服务：每季度2次；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  C级服务：每季度1次；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4  D级服务：每半年1次。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6.2.4   物业服务企业巡查装修现场频次应不低于下列要求（装修现场出现动火时应每2小时巡查1次）：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A级服务：每日2 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 xml:space="preserve">2  B级服务：每日1 次； </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 xml:space="preserve">3  C、D级服务：每两日巡查1 次。  </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6.2.5   物业服务企业应保持住宅区各组团、栋号、单元门、户等标志、标识、宣传牌字迹清晰，无安全隐患，发现损坏，及时修复，标志、标识、宣传牌完好率应符合下列要求：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A、B级服务：达90%以上；</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C、D级服务：达80%以上。</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6.2.6 物业服务企业应定期巡查空置房并记录。巡查频次应不低于下列要求：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ab/>
      </w:r>
      <w:r>
        <w:rPr>
          <w:rFonts w:hint="eastAsia" w:ascii="宋体" w:hAnsi="宋体" w:cs="宋体"/>
          <w:sz w:val="24"/>
          <w:szCs w:val="24"/>
        </w:rPr>
        <w:t>1  A级服务：每周巡查1次；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B级服务：每半月巡查1次；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 xml:space="preserve">3  C、D级服务：每月巡查1次。 </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jc w:val="center"/>
        <w:textAlignment w:val="auto"/>
        <w:rPr>
          <w:rFonts w:hint="eastAsia" w:ascii="宋体" w:hAnsi="宋体" w:cs="宋体"/>
          <w:sz w:val="24"/>
          <w:szCs w:val="24"/>
        </w:rPr>
      </w:pPr>
      <w:r>
        <w:rPr>
          <w:rFonts w:hint="eastAsia" w:ascii="宋体" w:hAnsi="宋体" w:cs="宋体"/>
          <w:sz w:val="24"/>
          <w:szCs w:val="24"/>
        </w:rPr>
        <w:t>7  共用设施设备</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7.1  一 般 规 定</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7.1.1  物业服务企业制定共用设施设备管理规定、维护保养和巡查规程。</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7.1.2  物业服务企业应妥善保管共用设施设备图纸档案资料并建立台账。按照有关规定，对有关设施设备进行维护保养和巡查，并保存记录，按时归档。</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7.1.3  物业服务企业应根据共用设施设备实际使用年限、使用状况，开展设备设施日常检查。根据检查情况制定大、中修及更新改造计划，向业主大会（业主委员会）提出书面报告。</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7.1.4  物业服务企业应根据每年综合检查结果，编制下年度日常维护保养工作计划和方案。</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7.1.5  物业服务企业应按规定对动力设备，电气设备，压力容器，消防设施，高低压劳动保护用品及专用工具等应进行定期检测，取得合格证，并做好记录。</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7.1.6  设备机房管理应符合下列要求：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显著位置张贴或悬挂相关制度和从业人员资格证书；</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设施设备标识、标牌齐全；</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  机房须常闭落锁，非工作人员未经允许不得进入，经批准的人员进入须登记；</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4  机房温度、湿度符合相关规定，配置应急照明设施；</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5  在明显易取位置配备消防灭火器材，并定期检查器材完好情况；</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6  规范设置挡鼠板、鼠药盒或粘鼠板；</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  机房内不得堆积杂物，保持清洁；</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8  在发生雷暴、强降水、大风等恶劣天气前后，要组织专项检查并做好记录。</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7.1.7  物业服务企业定期将物业共用设施设备运行状况向业主委员会书面报告，并在物业管理区域内公告。</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7.1.8  物业服务企业应加强设施设备运行管理，按照规定进行维修保养，保证设施设备完好和正常运行。</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7.2  电梯系统管理</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7.2.1  物业服务企业应配备电梯安全管理人员并持证上岗。</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7.2.2  物业服务企业现电梯因设计、制造、安装等环节存在的安全隐患，应及时书面报告相关单位。</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7.2.3  物业服务企业应按照规定对电梯设备运行情况进行巡查，发现异常情况应及时通知电梯维保单位。建立电梯安全技术档案并记录详实规范。</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7.2.4  物业服务企业按照合同对电梯实行限时运行的，保证每单元至少一部电梯24小时运行。</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7.2.5  物业服务企业应委托有资格的专业电梯维保单位按规定对电梯进行维修保养，对电梯维保单位保养工作进行监督，保存相关记录。</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7.2.6  物业服务企业应每年委托专业机构对电梯进行安全检测并取得《电梯使用标志》。</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7.2.7物业服务企业应积极宣传电梯安全知识，在电梯轿厢内张贴《电梯使用标志》和《电梯乘梯须知》，公布应急服务电话。</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7.2.8物业服务企业应保持轿厢内外按钮、照明灯具等配件保持完好，轿厢内整洁、三方对讲畅通，。</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7.2.9  物业服务企业应在电梯机房设有明显的警示标志，规范摆放应急工具，机房门常闭落锁。机房内应配备消防器材和温度仪；应有降温通风措施。</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7.2.10 电梯发生故障，物业服务企业应及时通知电梯维保单位及时排除故障， 发生电梯困人，物业服务企业应积极组织救助，立即通知电梯维保单位排险救援。</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7.2.11  物业企业接到市政停电通知应提前在相关楼宇张贴停电通知，停电前停止电梯运行。</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7.2.12  电梯井浸水时，物业服务企业应将电梯升至浸水楼层上方，查明漏水来源，排干楼层、井道积水；经检测排除隐患后，恢复电梯运行。</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7.2.13  发生火灾时应及时停止电梯运行。</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7.3  消防系统管理</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7.3.1  物业企业应配置专业人员对消防安全进行24小时值守，处理各类报警信息。在显著位置张贴管理制度、应急预案，备存紧急消防物资。</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7.3.2  物业企业应保持消防设施设备系统名称和编号完备，消防专用工具配置齐全，摆放规范。</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7.3.3  灭火器、消防水带等消防设备、物资配备齐全。防火门应常闭，闭门器能自动灵活关闭。疏散通道严禁堆放杂物。</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 xml:space="preserve">7.3.4  物业企业应保持火灾报警系统和联动装置应完好并保持自动控制状态。 </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7.3.5  物业企业应定期对消防系统中的联动部分进行测试，确保系统联动正常。</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7.3.6  物业企业应利用末端试水装置每月不少于1次对水流指示器进行试验，确保水压正常。</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7.3.7  物业企业应按消防管理有关规定，对消防泵、消火栓、水枪、水带、灭火器、消防安全标志、安全出口指示灯、应急照明、疏散导向灯、消防风机、风口等消防设施设备进行巡视、检查和维护，保持完好，可随时启用。</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7.3.8  需要暂时停用消防设施时，物业服务企业应采取有效措施确保消防安全。停用消防设施超过24小时时，物业服务企业应向辖区公安机关消防部门报告。</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7.4  给排水系统管理</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7.4.1  物业服务企业应保持生活水箱、水池检查孔盖板完好并落锁，溢流管口安装防护网，定期检查保养附属配件。</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7.4.2  物业服务企业应对二次供水的水箱、水池每季度清洗1次，并对水质进行化验，水质应符合生活饮用水卫生标准。</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 xml:space="preserve"> 7.4.3  物业服务企业应对污水提升泵定期检查保养。雨季前对屋面天沟、落水口及雨水管进行清理清挖。</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7.4.4  物业服务企业应对铸铁雨污水井盖、明装雨污水管道进行除锈、刷漆，对损坏井盖及时更换。</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7.4.5  物业服务企业应检查并及时清理公共污水管道、化粪池等部位，视情况进行清理，排水畅通。</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7.4.6  物业服务企业应检查雨水管道、窨井等部位，视情况进行清通，排水畅通。检查清理符合下列要求：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A级服务：每月检查1次，窨井每半年清理1次，排水沟每月清理1次；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B级服务：每季度检查1次，窨井每半年清理1次，排水沟每2月清理1次；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  C级服务：每半年检查1次，窨井每年清理1次，排水沟每季度清理1次；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4  D级服务：每年检查1次，窨井每年清理1次，排水沟每半年清理1次。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7.5  供电系统</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7.5.1  物业服务企业应保持自管高压配电房操作绝缘工具配置齐全，定期送检，检验报告存档备查。</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7.5.2  配电房有明显警示标志，悬挂操作规程，配备消防器材和防小动物设施完备；无有毒有害危险品及杂物存放，环境整洁。</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7.5.3  物业服务企业应每日专人巡查配电房，对设备主要运行参数进行查抄。</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7.5.4  限电、停电时，物业服务企业应提前通知业主（物业使用人）。</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7.5.5  物业服务企业应定期对公共照明系统控制柜、线路、灯具等进综合检修。</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7.5.6  物业服务企业应对路灯、楼梯灯、草坪（庭院）灯等公共照明维护保养应符合下列要求：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A级服务：每天检查1次，发现损坏，1个工作日修复；</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B级服务：每周检查1次，发现损坏，1个工作日修复；</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  C级服务：每半月检查1次，发现损坏，2个工作日修复；</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4  D级服务：每月检查1次，发现损坏，2个工作日修复。</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 xml:space="preserve"> 7.6  安全技术防范系统</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7.6.1  物业服务企业应保持安防设备设施24小时运转正常，画面齐全、清晰，实现对管理区域的有效监控。图像保存时间应不少于30天。</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7.6.2  物业服务企业应定期对安防各分系统维修养护，并不低于下列要求：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各分系统功能性检查：A、B级服务每周2次，C、D级服务每周1次；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各分项系统的电源与接线清洁检查：A、B级服务每月2次，C、D级服务每月不少于1次；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  电脑主机清洁、磁盘碎片整理、时钟调整，摄像云台润滑，解码器防雨罩除尘，接线检查：A、B级服务每季度2次，C、D级服务每季度1次；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4  电源接线绝缘、接地检查：A、B级服务每年2次，C、D级服务每年1次。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7.6.3  物业服务企业应保持视频监控系统中摄像机、画面分割器、录入设备 监视器、矩阵工作正常。</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7.6.4  物业服务企业应保持巡更器具工作正常。</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7.6.5  物业服务企业应保持红外探头安装牢固、线路无损，周界报警系统工作正常。</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7.6.6  物业服务企业应对讲系统基站线路无损，天线安装牢固、工作正常。</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7.7 防雷设施</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7.7.1  物业服务企业应每半年检查1次防雷设施的完好状况。</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7.7.2  物业服务企业应在雨季或危害性天气来临前对防雷设施进行专项检查维护。</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7.7.3  物业服务企业应按规定对防雷设施出现的锈蚀、变形、断裂等情况进行处理。</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7.8  道路设施</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7.8.1  物业服务企业应设置道路交通标志，保持标识规范、明显、清晰。</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7.8.2  物业服务企业应定期维修保养道路交通标志、路牙、路面、窨井盖、排水篦子，保持其完好。</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7.9  其他设施</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7.9.1  物业服务企业应设置使用须知、劝谕告示、警示牌。</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7.9.2  物业服务企业应定期对雕塑、室外健身器材、休闲椅等每周检查1次。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7.9.3  物业服务企业应定期对围墙、凉亭、景观小品、儿童乐园、地下车库（人防工程）、非机动车车棚等设施进行检查，检查频次应不低于下列要求：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A级服务：每月2次；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B级服务：每月1次；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  C级服务：每季度2次；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4  D级服务：半年2次。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jc w:val="center"/>
        <w:textAlignment w:val="auto"/>
        <w:rPr>
          <w:rFonts w:hint="eastAsia" w:ascii="宋体" w:hAnsi="宋体" w:cs="宋体"/>
          <w:sz w:val="24"/>
          <w:szCs w:val="24"/>
        </w:rPr>
      </w:pPr>
      <w:r>
        <w:rPr>
          <w:rFonts w:hint="eastAsia" w:ascii="宋体" w:hAnsi="宋体" w:cs="宋体"/>
          <w:sz w:val="24"/>
          <w:szCs w:val="24"/>
        </w:rPr>
        <w:t>8  公共秩序管理</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8.1  一 般 规 定</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8.1.1  物业服务企业应建立公共秩序维护制度。</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8.1.2  秩序维护人员应掌握公共秩序维护技能，熟悉物业管理区域环境，劝告或制止影响正常生活秩序的行为，各项记录完整</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8.1.3  监控室收到火警、警情或其他异常情况报警信号后，秩序维护人员应立即赶到现场进行处理。</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8.1.4  物业服务企业应按规定留存监控录入资料备查。</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8.2  安全防范管理</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8.2.1  住宅区内施工活动等需要设定封闭区域，阻止无关人员进入。</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8.2.2  秩序维护人员应劝阻拾荒者、小商贩等进入物业管理区域，对装饰装修人员实行临时出入证管理。</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8.2.3  物业服务企业应大宗物品出门实施登记管理。</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8.2.4  物业服务企业应按住宅区物业特点，设定合理巡逻路线，巡逻发现异常情况及时处置并做好记录。</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8.2.5  物业服务企业应在出入口配有专职秩序维护人员值守。出入口值守应符合下列要求：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A、B级服务出入口有专人24小时值守，主出入口立岗时间不少于6小时；</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C、D级服务主要出入口有专人24小时值守。</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8.2.6  秩序维护人员应按规定的时间和路线进行巡查，发现异常情况，现场采取必要措施进行处理。巡查宜符合下列要求：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A级服务每天不少于10次；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B级服务每天不少于8次；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  C级服务每天不少于6次；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4  D级服务每天不少于3次。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 xml:space="preserve"> 8.3消 防 管 理 </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8.3.1  物业服务企业应建立消防组织，落实消防安全责任制，指定消防安全负责人，逐级逐岗明确消防安全职责。</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8.3.2  物业服务企业应制定消防管理、防火检查、隐患整改等制度。</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8.2.3 秩序维护人员发现消防安全违法行为，应立即进行劝阻；发现火灾隐患时，应立即纠正排除；不能纠正和排除时，应立即向有关部门报告并配合消防处理，并做好记录。</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8.3.4  物业服务企业应保持消防通道畅通，禁止消防通道上堆放杂物、设置路障和停放车辆。</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8.3.5  物业服务企业应组织成立志愿消防队，每年组织开展不少于1次消防演练，定期开展消防安全宣传教育。</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8.3.6  物业服务企业应每月组织1次全面的消防安全检查，做好检查记录。</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8.4 车 辆 管 理</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8.4.1  物业管理区域内的机动车停车位，应保证本物业管理区域内的业主（物业使用人）正常使用。</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8.4.2  物业管理区域内停放的车辆，不得影响其他车辆和行人的正常通行。8.4.3  物业服务企业应按车辆行驶要求设立标识牌和标线，规定车辆行驶路线，指定车辆停放区域，规范车位标识。</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8.4.4  物业服务企业应对外来和临时进入的机动车辆进行登记管理、凭证（卡）出入。</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8.4.5  物业服务企业不得私自改建、分隔、拆除车场（车库）。</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8.4.6  物业管理区域内非机动车应定点停放。</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jc w:val="center"/>
        <w:textAlignment w:val="auto"/>
        <w:rPr>
          <w:rFonts w:hint="eastAsia" w:ascii="宋体" w:hAnsi="宋体" w:cs="宋体"/>
          <w:sz w:val="24"/>
          <w:szCs w:val="24"/>
        </w:rPr>
      </w:pPr>
      <w:r>
        <w:rPr>
          <w:rFonts w:hint="eastAsia" w:ascii="宋体" w:hAnsi="宋体" w:cs="宋体"/>
          <w:sz w:val="24"/>
          <w:szCs w:val="24"/>
        </w:rPr>
        <w:t>9  环境卫生管理</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9.1 一 般 规 定</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9.1.1  物业服务企业应制定环境卫生管理制度。</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9.1.2  物业服务企业应实行公共区域卫生清洁责任制。</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9.1.3  物业服务企业应设置专人对环境卫生质量进行监督检查，每日抽查不少于1次。一个月内应检查到所有单元楼层，并完整记录检查情况。</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9.1.4　物业服务企业应配置可密闭式垃圾收集容器，设置分类标识，按单元设置垃圾桶，合理设置果皮箱。</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9.1.5　保洁人员开展清洗保养地砖、墙面等作业时，应放置“正在保洁”、“小心地滑”等警示标识。</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9.1.6  物业服务企业应在雨雪后及时组织排除积水，清扫路面积雪，铲除积冰。</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9.1.7  物业服务企业发现环境卫生器具损坏时，应及时报修。</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9.2  服务等级规定</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9.2.1　物业服务企业对住宅楼门厅进行保洁，应不低于下列要求：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A级服务：每日清扫、清拖1次地面；每日擦拭 1次信报箱；每周擦拭1次门厅玻璃、墙面；</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 xml:space="preserve">2  B级服务：每日清扫、隔日清拖1次地面；隔日擦拭 1次信报箱；每半个月擦拭1次门厅玻璃、墙面； </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  C级服务：每日清扫、每周清拖1次地面；每周擦拭 1次信报箱；每月擦拭1次门厅玻璃、墙面；</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4  D级服务：每周清扫、清拖1次地面；每半月擦拭 1次信报箱；每季度擦拭1次门厅玻璃、墙面。</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9.2.2　物业服务企业对楼道、楼梯进行保洁，应不低于下列要求：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A级服务：每日清扫、每周清拖 1次楼道、楼梯；每周擦拭2次楼梯扶手、栏杆、窗台、防火门、消火栓（箱）、指示牌等共用设施。每月除尘、擦拭1次门窗玻璃和灯具；</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B级服务：每日清扫、每半月清拖 1次楼道、楼梯；每周擦拭1次楼梯扶手、栏杆、窗台、防火门、消火栓（箱）、指示牌等共用设施。每季度除尘、擦拭1次门窗玻璃和灯具；</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  C级服务：每2日清扫、每月清拖 1次楼道、楼梯；每半月擦拭1次楼梯扶手、栏杆、窗台、防火门、消火栓（箱）、指示牌等共用设施。每半年除尘、擦拭1次门窗玻璃和灯具；</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4  D级服务：每周清扫1次楼道、楼梯；隔月擦试楼梯扶手、栏杆、窗台、防火门、消火栓（箱）、指示牌等共用设施；每年除尘、擦拭1次门窗玻璃和灯具。</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9.2.3　物业服务企业对电梯保洁应不低于下列要求：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A级服务：每日擦拭 1次电梯轿厢门、面板，清拖1次轿厢地面。不锈钢或其他材料装饰的电梯轿厢，每周护理1次；石材装饰的电梯轿厢，每月养护1次石材装饰的电梯轿厢；</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B级服务：每日擦拭 1次电梯轿厢门、面板，清拖1次轿厢地面。不锈钢或其他材料装饰的电梯轿厢，每月护理2次；每2月养护1次石材装饰的电梯轿厢；</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  C级服务：毎2日擦拭 1次电梯轿厢门、面板，清拖1次轿厢地面。不锈钢或其他材料装饰的电梯轿厢，每月护理1次；每季度养护1次石材装饰的电梯轿厢；</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4  D级服务：每周擦拭不少于 1次电梯轿厢门、面板，清拖1次轿厢地面。电梯轿厢按材质定期养护。</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9.2.4　物业服务企业对楼外道路保洁，应不低于下列要求：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A、B级服务：每日进行清扫，保持道路、人行道无垃圾、杂物、积水、积雪、泥沙等；</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C、D级服务：每日清扫1次，目视基本干净、整洁，无卫生死角。</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9.2.5  物业服务企业对休闲健身器材、儿童游乐设施、标识牌等公共设施进行保洁，应不低于下列要求：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A级服务：每日清洁1次；每半月清洗消毒1次；设施保持干净，无污渍、锈迹；</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B级服务：每3日清洁1次；设施保持基本干净，无污渍、锈迹；</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  C级服务：每周清洁1次；设施保持基本干净；</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4  D级服务：每半月清洁1次；设施保持基本干净。</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9.2.6　物业管理企业对天台屋面进行保洁，应不低于下列要求：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A级服务：每月清理1次；</w:t>
      </w:r>
      <w:r>
        <w:rPr>
          <w:rFonts w:hint="eastAsia" w:ascii="宋体" w:hAnsi="宋体" w:cs="宋体"/>
          <w:sz w:val="24"/>
          <w:szCs w:val="24"/>
        </w:rPr>
        <w:tab/>
      </w:r>
      <w:r>
        <w:rPr>
          <w:rFonts w:hint="eastAsia" w:ascii="宋体" w:hAnsi="宋体" w:cs="宋体"/>
          <w:sz w:val="24"/>
          <w:szCs w:val="24"/>
        </w:rPr>
        <w:tab/>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B级服务：每季度清理1次；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  C级服务：每年春、秋季各清理1次；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 xml:space="preserve">4  D级服务：每年雨季前清理1次。 </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9.2.7　物业服务企业对车库进行保洁，应不低于下列要求：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A级服务：每日巡视保洁2次，每周全面清扫1次地面。每周清洁1次车库内公共设施设备，每月清理1次排水沟；</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B级服务：每日巡视保洁1次，每半月全面清扫1次地面。每半月清洁1次车库内公共设施设备，每月清理1次排水沟；</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  C级服务：每日巡视保洁1次，每月全面清扫1次地面。每月清洁1次车库内公共设施设备，每季度清理1次排水沟；</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4  D级服务：每日巡视保洁1次，每季度全面清扫1次地面。每季度清洁1次车库内公共设施设备，每季度清理1次排水沟。</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9.2.8　物业服务企业对绿地进行保洁，应不低于下列要求：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A级服务：每日巡视保洁2次，目视无垃圾杂物；</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B级服务：每日巡视保洁1次，目视无垃圾杂物；</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  C级服务：每2日巡视保洁1次，目视无垃圾杂物；</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4  D级服务：每周巡视保洁2次。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9.2.9　物业服务企业对水景进行保洁，应不低于下列要求：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A级服务：喷水池每日打捞1次杂物；人工湖每周打捞1次杂物；</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B级服务：喷水池每周打捞2次杂物；人工湖每10日打捞1次杂物；</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  C级服务：喷水池每周打捞1次杂物；人工湖每半月打捞1次杂物；</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4  D级服务：喷水池每半月打捞1次杂物；人工湖每月打捞1次杂物；</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9.2.10　物业服务企业对垃圾进行收集、清运，应符合下列要求：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生活垃圾宜分类收集；</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垃圾收容容器应及时清倒，垃圾不外露；</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　每日至少清运1次生活垃圾，不得乱堆乱倒；</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4  配备专用垃圾清运车清运的，封闭运输，垃圾不外露、不遗洒；</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5  应指定位置堆放装饰装修建筑垃圾，定时清运。</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9.2.11  物业服务企业对垃圾收集容器进行保洁，应不低于下列要求：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A级服务：垃圾收集容器夏季每日清洗1次；其他季节每周清洗1次、每2日清洁外表面1次；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B级服务：垃圾收集容器夏季每2日清洗1次；其他季节每周清洗1次、每周清洁外表面1次；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  C、D级服务：垃圾收集容器夏季每周清洗1次；其他季节没有清洗1次、每周清洁外表面1次。</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9.2.12  物业服务企业对有害生物进行预防和控制，应符合下列要求：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制定蟑螂、蚊、蝇、鼠消杀计划。实施消杀计划前，应事先进行公告，采取预防措施。</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做好白蚁防治知识宣传，发动业主（物业使用人）共同参与防治，发现蚁害应及时报告白蚁防治单位进行防治处理。</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jc w:val="center"/>
        <w:textAlignment w:val="auto"/>
        <w:rPr>
          <w:rFonts w:hint="eastAsia" w:ascii="宋体" w:hAnsi="宋体" w:cs="宋体"/>
          <w:sz w:val="24"/>
          <w:szCs w:val="24"/>
        </w:rPr>
      </w:pPr>
      <w:r>
        <w:rPr>
          <w:rFonts w:hint="eastAsia" w:ascii="宋体" w:hAnsi="宋体" w:cs="宋体"/>
          <w:sz w:val="24"/>
          <w:szCs w:val="24"/>
        </w:rPr>
        <w:t>10  绿化与园林小品</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10.1  一 般 规 定</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10.1.1  物业服务企业应制定绿化管理规章制度，建立园林设施管理档案。</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10.1.2  物业服务企业应设置爱护花草的劝谕告示、水景安全警示标志</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10.1.3  物业服务企业应对主要花木进行挂牌宣传，建立专项养护措施。</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10.1.4  物业服务企业应对易受冻害的树木采取防寒措施，枝叶积雪及时清除，对有倒伏危险的树木采取支撑保护措施。</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10.1.5  物业服务企业对园林设施应定期检查、养护，保持其状态完好。</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10.2　服务等级规定</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10.2.1  物业服务企业对绿化进行养护，应不低于下列要求：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级服务：各类花草树木生长旺盛，叶色正常；乔、灌木保存率95%以上，栽（补）植成活率95%以上，；木本花卉种植轮廓清晰，整齐美观，高矮搭配合理，疏密均匀；草坪覆盖率95%以上，生长旺盛，生长季节不枯黄，无杂草、斑秃；绿篱和造型植物外形美观，无断垄；</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B级服务：各类花草树木生长旺盛，叶色正常；乔、灌木保存率90%以上，栽（补）植成活率90%以上；木本花卉种植轮廓清晰，整齐美观，高矮搭配合理，疏密均匀；草坪覆盖率90%以上，生长旺盛，无杂草、无明显斑秃；绿篱和造型植物外形美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  C级服务：各类花草树木生长正常；乔、灌木保存率85%以上，栽（补）植成活率应达到85%以上；木本花卉无残缺；草坪覆盖率85%以上，生长季节无成片枯黄，无明显杂草；</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4  D级服务：各类花草树木生长正常；乔、灌木保存率80%以上，栽（补）植成活率80%以上；草坪覆盖率80%以上。</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10.2.2  物业服务企业对灌木、乔木进行修剪，应不低于下列要求：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A级服务：适时修剪，乔、灌木树冠整齐美观。草坪、绿篱、造型植物年普修4遍以上。草屑及时清理，草坪常年保持平整、边缘清晰，丛、草高应适度；</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B级服务：适时修剪，乔、灌木完整。草坪、绿篱、造型植物年普修3遍以上。草屑及时清理，草坪常年保持平整、边缘清晰，丛、草高应适度；</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 xml:space="preserve">   3  C级服务：适时修剪；草坪、绿篱、造型植物年普修2遍以上。草屑及时清理，草坪常年保持平整、边缘清晰，丛、草高应适度；</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4  D级服务：定期修剪；草坪、绿篱、造型植物年普修1遍以上，丛、草高应适度。</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10.2.3  物业服务企业对绿化进行灌溉、施肥，应不低于下列要求：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A级服务：按植物品种、生长状况、土壤条件，适时、适量施肥。年普施基肥1遍，花灌木追肥2遍，满足植物生长需要。常年保持有效供水，草坪充分生长，低洼处及时整平，保持排水通畅；</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B级服务：按植物品种、生长状况、土壤条件适时施肥，年普施基肥1遍，花灌木增施追肥2遍。常年保持有效供水，草坪生长良好，低洼处及时整平，保持排水通畅；</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  C级服务：按植物品种、生长状况、土壤条件适时施肥，年普施基肥1遍，花灌木增施追肥1遍。保持有效供水，草坪正常生长，排水通畅；</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4  D级服务：年普施基肥1遍。无明显缺水枯黄。</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10.2.4  物业服务企业对绿化进行补植补种，应符合下列要求：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A、B级服务：树木缺株尽早补植，行道树无缺株；补植的树木选用原树种，规格近似；草地空秃地段及时补植；</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C、D级服务：树木缺株、草地空秃地段补植补种；</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10.2.5  物业服务企业对树干涂白，应符合下列要求：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A、B级服务：每年秋末冬初的雨季后对乔木树干涂白1次，早春再涂白1次，涂白高度应符合规定；</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C、D级服务：每年秋末冬初的雨季后对乔木的树干涂白1次，涂白高度应符合规定。</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10.2.6  物业服务企业进行病虫害防治，应符合下列要求：</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  A级服务：防治措施到位，效果显著；平均病虫害株数不超过10%；草坪无明显病斑，禁用高毒或强烈刺激性的农药；喷洒药物前应有告示；</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2  B级服务：有防治措施，无明显病虫害；平均病虫害株数不超过15%；禁用高毒或强刺激性的农药；喷洒药物前应有告示；</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3  C、D级服务：无较大病虫害；平均病虫害株数不超过20%；禁用高毒或强刺激性的农药；喷洒农药前应有告示。</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jc w:val="center"/>
        <w:textAlignment w:val="auto"/>
        <w:rPr>
          <w:rFonts w:hint="eastAsia" w:ascii="宋体" w:hAnsi="宋体" w:cs="宋体"/>
          <w:sz w:val="24"/>
          <w:szCs w:val="24"/>
        </w:rPr>
      </w:pPr>
      <w:r>
        <w:rPr>
          <w:rFonts w:hint="eastAsia" w:ascii="宋体" w:hAnsi="宋体" w:cs="宋体"/>
          <w:sz w:val="24"/>
          <w:szCs w:val="24"/>
        </w:rPr>
        <w:t>11  物业服务收费</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11.0.1  物业服务收费应公平、合理、遵循服务质量和服务价格相符的原则收费。</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11.0.2  物业服务合同应约定物业服务收费有关事项。</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11.0.3  物业服务企业应在物业服务区域内的显著位置或收费地点，按照物业服务收费明码标价规定，公布物业服务收费标准和服务等级标准。</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11.0.4  物业服务企业提供有偿服务，应在客户服务场所公示服务内容和收费标准。</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11.0.5  物业服务企业应按物业服务合同的约定，提前告知业主（物业使用人）及时交纳物业服务费用。不得使用非法方式催缴物业服务费。</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jc w:val="center"/>
        <w:textAlignment w:val="auto"/>
        <w:rPr>
          <w:rFonts w:hint="eastAsia" w:ascii="宋体" w:hAnsi="宋体" w:cs="宋体"/>
          <w:sz w:val="24"/>
          <w:szCs w:val="24"/>
        </w:rPr>
      </w:pPr>
      <w:r>
        <w:rPr>
          <w:rFonts w:hint="eastAsia" w:ascii="宋体" w:hAnsi="宋体" w:cs="宋体"/>
          <w:sz w:val="24"/>
          <w:szCs w:val="24"/>
        </w:rPr>
        <w:t>12  住宅区文化建设</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12.0.1  物业服务企业宜组织展开形式多样、内容丰富的社区文化活动。</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12.0.2  物业服务企业应提前做好社区文化活动方案，实施中应做好秩序维护和应急处置工作。</w:t>
      </w:r>
    </w:p>
    <w:p>
      <w:pPr>
        <w:keepNext w:val="0"/>
        <w:keepLines w:val="0"/>
        <w:pageBreakBefore w:val="0"/>
        <w:widowControl w:val="0"/>
        <w:kinsoku/>
        <w:wordWrap/>
        <w:overflowPunct/>
        <w:topLinePunct w:val="0"/>
        <w:autoSpaceDE/>
        <w:autoSpaceDN/>
        <w:bidi w:val="0"/>
        <w:adjustRightInd/>
        <w:snapToGrid/>
        <w:spacing w:line="450" w:lineRule="exact"/>
        <w:ind w:firstLine="480" w:firstLineChars="200"/>
        <w:textAlignment w:val="auto"/>
        <w:rPr>
          <w:rFonts w:hint="eastAsia" w:ascii="宋体" w:hAnsi="宋体" w:cs="宋体"/>
          <w:sz w:val="24"/>
          <w:szCs w:val="24"/>
        </w:rPr>
      </w:pPr>
      <w:r>
        <w:rPr>
          <w:rFonts w:hint="eastAsia" w:ascii="宋体" w:hAnsi="宋体" w:cs="宋体"/>
          <w:sz w:val="24"/>
          <w:szCs w:val="24"/>
        </w:rPr>
        <w:t>12.0.3  物业服务企业应注重利用社会资源展开社区文化活动。</w:t>
      </w:r>
    </w:p>
    <w:p>
      <w:pPr>
        <w:jc w:val="center"/>
        <w:rPr>
          <w:rFonts w:hint="eastAsia" w:ascii="仿宋_GB2312" w:eastAsia="仿宋_GB2312"/>
          <w:sz w:val="30"/>
          <w:szCs w:val="30"/>
        </w:rPr>
      </w:pPr>
    </w:p>
    <w:p>
      <w:pPr>
        <w:jc w:val="center"/>
        <w:rPr>
          <w:rFonts w:hint="eastAsia" w:ascii="仿宋_GB2312" w:eastAsia="仿宋_GB2312"/>
          <w:sz w:val="30"/>
          <w:szCs w:val="30"/>
        </w:rPr>
      </w:pPr>
    </w:p>
    <w:bookmarkEnd w:id="88"/>
    <w:p>
      <w:pPr>
        <w:pStyle w:val="16"/>
        <w:ind w:left="0" w:leftChars="0" w:firstLine="0" w:firstLineChars="0"/>
        <w:rPr>
          <w:rFonts w:hint="eastAsia" w:ascii="新宋体" w:hAnsi="新宋体" w:eastAsia="新宋体" w:cs="新宋体"/>
        </w:rPr>
      </w:pPr>
    </w:p>
    <w:p>
      <w:pPr>
        <w:rPr>
          <w:rFonts w:hint="eastAsia" w:ascii="新宋体" w:hAnsi="新宋体" w:eastAsia="新宋体" w:cs="新宋体"/>
        </w:rPr>
      </w:pPr>
    </w:p>
    <w:sectPr>
      <w:footerReference r:id="rId6" w:type="first"/>
      <w:footerReference r:id="rId5" w:type="default"/>
      <w:pgSz w:w="11906" w:h="16838"/>
      <w:pgMar w:top="1270" w:right="1134" w:bottom="1270" w:left="1134" w:header="851" w:footer="992" w:gutter="0"/>
      <w:pgNumType w:fmt="decimal"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mic Sans MS">
    <w:panose1 w:val="030F0702030302020204"/>
    <w:charset w:val="00"/>
    <w:family w:val="script"/>
    <w:pitch w:val="default"/>
    <w:sig w:usb0="00000287" w:usb1="00000000" w:usb2="00000000" w:usb3="00000000" w:csb0="2000009F" w:csb1="00000000"/>
  </w:font>
  <w:font w:name="Consolas">
    <w:panose1 w:val="020B0609020204030204"/>
    <w:charset w:val="00"/>
    <w:family w:val="auto"/>
    <w:pitch w:val="default"/>
    <w:sig w:usb0="E10002FF" w:usb1="4000FCFF" w:usb2="00000009" w:usb3="00000000" w:csb0="6000019F" w:csb1="DFD7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1"/>
      </w:rPr>
    </w:pPr>
    <w:r>
      <w:fldChar w:fldCharType="begin"/>
    </w:r>
    <w:r>
      <w:rPr>
        <w:rStyle w:val="21"/>
      </w:rPr>
      <w:instrText xml:space="preserve">PAGE  </w:instrText>
    </w:r>
    <w:r>
      <w:fldChar w:fldCharType="end"/>
    </w: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35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1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35</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587AC6"/>
    <w:multiLevelType w:val="singleLevel"/>
    <w:tmpl w:val="80587AC6"/>
    <w:lvl w:ilvl="0" w:tentative="0">
      <w:start w:val="9"/>
      <w:numFmt w:val="decimal"/>
      <w:lvlText w:val="%1."/>
      <w:lvlJc w:val="left"/>
      <w:pPr>
        <w:tabs>
          <w:tab w:val="left" w:pos="312"/>
        </w:tabs>
      </w:pPr>
    </w:lvl>
  </w:abstractNum>
  <w:abstractNum w:abstractNumId="1">
    <w:nsid w:val="AE944710"/>
    <w:multiLevelType w:val="singleLevel"/>
    <w:tmpl w:val="AE944710"/>
    <w:lvl w:ilvl="0" w:tentative="0">
      <w:start w:val="1"/>
      <w:numFmt w:val="decimal"/>
      <w:suff w:val="nothing"/>
      <w:lvlText w:val="（%1）"/>
      <w:lvlJc w:val="left"/>
    </w:lvl>
  </w:abstractNum>
  <w:abstractNum w:abstractNumId="2">
    <w:nsid w:val="AEA7FF37"/>
    <w:multiLevelType w:val="singleLevel"/>
    <w:tmpl w:val="AEA7FF37"/>
    <w:lvl w:ilvl="0" w:tentative="0">
      <w:start w:val="1"/>
      <w:numFmt w:val="decimal"/>
      <w:suff w:val="nothing"/>
      <w:lvlText w:val="（%1）"/>
      <w:lvlJc w:val="left"/>
    </w:lvl>
  </w:abstractNum>
  <w:abstractNum w:abstractNumId="3">
    <w:nsid w:val="4687FE00"/>
    <w:multiLevelType w:val="singleLevel"/>
    <w:tmpl w:val="4687FE00"/>
    <w:lvl w:ilvl="0" w:tentative="0">
      <w:start w:val="1"/>
      <w:numFmt w:val="decimal"/>
      <w:suff w:val="nothing"/>
      <w:lvlText w:val="%1、"/>
      <w:lvlJc w:val="left"/>
    </w:lvl>
  </w:abstractNum>
  <w:abstractNum w:abstractNumId="4">
    <w:nsid w:val="48355381"/>
    <w:multiLevelType w:val="singleLevel"/>
    <w:tmpl w:val="48355381"/>
    <w:lvl w:ilvl="0" w:tentative="0">
      <w:start w:val="1"/>
      <w:numFmt w:val="decimal"/>
      <w:suff w:val="nothing"/>
      <w:lvlText w:val="（%1）"/>
      <w:lvlJc w:val="left"/>
    </w:lvl>
  </w:abstractNum>
  <w:abstractNum w:abstractNumId="5">
    <w:nsid w:val="4E6982BD"/>
    <w:multiLevelType w:val="singleLevel"/>
    <w:tmpl w:val="4E6982BD"/>
    <w:lvl w:ilvl="0" w:tentative="0">
      <w:start w:val="1"/>
      <w:numFmt w:val="decimal"/>
      <w:suff w:val="nothing"/>
      <w:lvlText w:val="%1、"/>
      <w:lvlJc w:val="left"/>
    </w:lvl>
  </w:abstractNum>
  <w:abstractNum w:abstractNumId="6">
    <w:nsid w:val="4FAC4225"/>
    <w:multiLevelType w:val="singleLevel"/>
    <w:tmpl w:val="4FAC4225"/>
    <w:lvl w:ilvl="0" w:tentative="0">
      <w:start w:val="1"/>
      <w:numFmt w:val="decimal"/>
      <w:suff w:val="nothing"/>
      <w:lvlText w:val="（%1）"/>
      <w:lvlJc w:val="left"/>
    </w:lvl>
  </w:abstractNum>
  <w:abstractNum w:abstractNumId="7">
    <w:nsid w:val="6D36957F"/>
    <w:multiLevelType w:val="singleLevel"/>
    <w:tmpl w:val="6D36957F"/>
    <w:lvl w:ilvl="0" w:tentative="0">
      <w:start w:val="1"/>
      <w:numFmt w:val="decimal"/>
      <w:suff w:val="nothing"/>
      <w:lvlText w:val="（%1）"/>
      <w:lvlJc w:val="left"/>
    </w:lvl>
  </w:abstractNum>
  <w:num w:numId="1">
    <w:abstractNumId w:val="4"/>
  </w:num>
  <w:num w:numId="2">
    <w:abstractNumId w:val="1"/>
  </w:num>
  <w:num w:numId="3">
    <w:abstractNumId w:val="2"/>
  </w:num>
  <w:num w:numId="4">
    <w:abstractNumId w:val="6"/>
  </w:num>
  <w:num w:numId="5">
    <w:abstractNumId w:val="7"/>
  </w:num>
  <w:num w:numId="6">
    <w:abstractNumId w:val="3"/>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703"/>
    <w:rsid w:val="00000432"/>
    <w:rsid w:val="00005773"/>
    <w:rsid w:val="00005C25"/>
    <w:rsid w:val="00011517"/>
    <w:rsid w:val="000126E0"/>
    <w:rsid w:val="00015A1B"/>
    <w:rsid w:val="00022ACA"/>
    <w:rsid w:val="000234E9"/>
    <w:rsid w:val="00024CCF"/>
    <w:rsid w:val="00026FF0"/>
    <w:rsid w:val="00027A7D"/>
    <w:rsid w:val="00034B03"/>
    <w:rsid w:val="0003577E"/>
    <w:rsid w:val="0004035E"/>
    <w:rsid w:val="00040BCF"/>
    <w:rsid w:val="00044111"/>
    <w:rsid w:val="000622D6"/>
    <w:rsid w:val="000637F9"/>
    <w:rsid w:val="0006610B"/>
    <w:rsid w:val="0007196C"/>
    <w:rsid w:val="000752D3"/>
    <w:rsid w:val="00076429"/>
    <w:rsid w:val="00092715"/>
    <w:rsid w:val="00096BB5"/>
    <w:rsid w:val="000B5DD0"/>
    <w:rsid w:val="000B6667"/>
    <w:rsid w:val="000B7BA7"/>
    <w:rsid w:val="000C4180"/>
    <w:rsid w:val="000C4598"/>
    <w:rsid w:val="000D1271"/>
    <w:rsid w:val="000D22BC"/>
    <w:rsid w:val="000E2E97"/>
    <w:rsid w:val="000E6535"/>
    <w:rsid w:val="000F25F4"/>
    <w:rsid w:val="000F6986"/>
    <w:rsid w:val="000F7201"/>
    <w:rsid w:val="000F7302"/>
    <w:rsid w:val="000F7B28"/>
    <w:rsid w:val="0011329F"/>
    <w:rsid w:val="00116ABC"/>
    <w:rsid w:val="001264FD"/>
    <w:rsid w:val="001304CC"/>
    <w:rsid w:val="001313FB"/>
    <w:rsid w:val="001355DF"/>
    <w:rsid w:val="00146D3B"/>
    <w:rsid w:val="00150BE0"/>
    <w:rsid w:val="00151935"/>
    <w:rsid w:val="00153CC9"/>
    <w:rsid w:val="001566A1"/>
    <w:rsid w:val="0016306C"/>
    <w:rsid w:val="001724D4"/>
    <w:rsid w:val="00193238"/>
    <w:rsid w:val="001962A2"/>
    <w:rsid w:val="001A216C"/>
    <w:rsid w:val="001B78BB"/>
    <w:rsid w:val="001C2300"/>
    <w:rsid w:val="001D3C7C"/>
    <w:rsid w:val="001D7CF4"/>
    <w:rsid w:val="001F118D"/>
    <w:rsid w:val="001F699B"/>
    <w:rsid w:val="00201B9F"/>
    <w:rsid w:val="00205AB0"/>
    <w:rsid w:val="002076E7"/>
    <w:rsid w:val="00210D05"/>
    <w:rsid w:val="00215338"/>
    <w:rsid w:val="00215497"/>
    <w:rsid w:val="00224621"/>
    <w:rsid w:val="00225A71"/>
    <w:rsid w:val="0022605E"/>
    <w:rsid w:val="0023019B"/>
    <w:rsid w:val="002318AE"/>
    <w:rsid w:val="00236B35"/>
    <w:rsid w:val="00240395"/>
    <w:rsid w:val="00240769"/>
    <w:rsid w:val="002429B0"/>
    <w:rsid w:val="0024743B"/>
    <w:rsid w:val="002474B6"/>
    <w:rsid w:val="002501E1"/>
    <w:rsid w:val="00256F6A"/>
    <w:rsid w:val="00261841"/>
    <w:rsid w:val="00262AFB"/>
    <w:rsid w:val="00271278"/>
    <w:rsid w:val="002756BB"/>
    <w:rsid w:val="002758F9"/>
    <w:rsid w:val="002800BE"/>
    <w:rsid w:val="00284B02"/>
    <w:rsid w:val="00286D7F"/>
    <w:rsid w:val="002951F6"/>
    <w:rsid w:val="002960FD"/>
    <w:rsid w:val="002B0EE6"/>
    <w:rsid w:val="002B27D0"/>
    <w:rsid w:val="002C711C"/>
    <w:rsid w:val="002C7375"/>
    <w:rsid w:val="002D0E5F"/>
    <w:rsid w:val="002E0577"/>
    <w:rsid w:val="002E29A6"/>
    <w:rsid w:val="002E7A6B"/>
    <w:rsid w:val="0030457F"/>
    <w:rsid w:val="00310AFF"/>
    <w:rsid w:val="003116D4"/>
    <w:rsid w:val="0032010D"/>
    <w:rsid w:val="00320E31"/>
    <w:rsid w:val="003244D8"/>
    <w:rsid w:val="003274A2"/>
    <w:rsid w:val="003311AA"/>
    <w:rsid w:val="0033122B"/>
    <w:rsid w:val="003329D5"/>
    <w:rsid w:val="003362E4"/>
    <w:rsid w:val="00347BE0"/>
    <w:rsid w:val="003540F8"/>
    <w:rsid w:val="003547B3"/>
    <w:rsid w:val="003564C7"/>
    <w:rsid w:val="00357C65"/>
    <w:rsid w:val="003636DE"/>
    <w:rsid w:val="003669EA"/>
    <w:rsid w:val="003713CC"/>
    <w:rsid w:val="003740F5"/>
    <w:rsid w:val="00382906"/>
    <w:rsid w:val="00382DB3"/>
    <w:rsid w:val="0038407C"/>
    <w:rsid w:val="00386E40"/>
    <w:rsid w:val="00392870"/>
    <w:rsid w:val="0039348B"/>
    <w:rsid w:val="003A62FE"/>
    <w:rsid w:val="003A7483"/>
    <w:rsid w:val="003A76BE"/>
    <w:rsid w:val="003B6357"/>
    <w:rsid w:val="003D0554"/>
    <w:rsid w:val="003D1CC5"/>
    <w:rsid w:val="003E3BF4"/>
    <w:rsid w:val="003E3C0D"/>
    <w:rsid w:val="003E4F61"/>
    <w:rsid w:val="003F34B2"/>
    <w:rsid w:val="003F51A9"/>
    <w:rsid w:val="004029B6"/>
    <w:rsid w:val="00410447"/>
    <w:rsid w:val="00411D77"/>
    <w:rsid w:val="00415459"/>
    <w:rsid w:val="0042371B"/>
    <w:rsid w:val="0043078D"/>
    <w:rsid w:val="00447A29"/>
    <w:rsid w:val="004563ED"/>
    <w:rsid w:val="00460286"/>
    <w:rsid w:val="004612EF"/>
    <w:rsid w:val="00461755"/>
    <w:rsid w:val="0046395D"/>
    <w:rsid w:val="0046658C"/>
    <w:rsid w:val="00487241"/>
    <w:rsid w:val="00492E44"/>
    <w:rsid w:val="004A069E"/>
    <w:rsid w:val="004A376E"/>
    <w:rsid w:val="004A632E"/>
    <w:rsid w:val="004B6556"/>
    <w:rsid w:val="004C0E60"/>
    <w:rsid w:val="004D0196"/>
    <w:rsid w:val="004D3698"/>
    <w:rsid w:val="004E27C3"/>
    <w:rsid w:val="004E552F"/>
    <w:rsid w:val="004E6EE3"/>
    <w:rsid w:val="005133B9"/>
    <w:rsid w:val="00515DB6"/>
    <w:rsid w:val="00522150"/>
    <w:rsid w:val="00524F6A"/>
    <w:rsid w:val="005277D4"/>
    <w:rsid w:val="00532A8D"/>
    <w:rsid w:val="00533D0C"/>
    <w:rsid w:val="00541ACA"/>
    <w:rsid w:val="00543302"/>
    <w:rsid w:val="005435F8"/>
    <w:rsid w:val="00547123"/>
    <w:rsid w:val="0054796F"/>
    <w:rsid w:val="00550593"/>
    <w:rsid w:val="00561BCC"/>
    <w:rsid w:val="00563669"/>
    <w:rsid w:val="005661EF"/>
    <w:rsid w:val="00582267"/>
    <w:rsid w:val="0058324B"/>
    <w:rsid w:val="00586842"/>
    <w:rsid w:val="005A02DE"/>
    <w:rsid w:val="005A0470"/>
    <w:rsid w:val="005A2EF3"/>
    <w:rsid w:val="005A31EB"/>
    <w:rsid w:val="005A669E"/>
    <w:rsid w:val="005B1E15"/>
    <w:rsid w:val="005B78BC"/>
    <w:rsid w:val="005C3D33"/>
    <w:rsid w:val="005C5A72"/>
    <w:rsid w:val="005D063A"/>
    <w:rsid w:val="005D3B6E"/>
    <w:rsid w:val="005D5E24"/>
    <w:rsid w:val="005D601C"/>
    <w:rsid w:val="005D733C"/>
    <w:rsid w:val="005D7C43"/>
    <w:rsid w:val="005E1A50"/>
    <w:rsid w:val="005E33FA"/>
    <w:rsid w:val="005F2A24"/>
    <w:rsid w:val="006048A8"/>
    <w:rsid w:val="00604C78"/>
    <w:rsid w:val="0061290C"/>
    <w:rsid w:val="006145B9"/>
    <w:rsid w:val="00616BA5"/>
    <w:rsid w:val="00616CCB"/>
    <w:rsid w:val="00616F33"/>
    <w:rsid w:val="00621A46"/>
    <w:rsid w:val="006231F4"/>
    <w:rsid w:val="00623DC8"/>
    <w:rsid w:val="00626047"/>
    <w:rsid w:val="0062696B"/>
    <w:rsid w:val="00626F36"/>
    <w:rsid w:val="0063132E"/>
    <w:rsid w:val="006347AE"/>
    <w:rsid w:val="006347BB"/>
    <w:rsid w:val="0063541F"/>
    <w:rsid w:val="00656344"/>
    <w:rsid w:val="006638B3"/>
    <w:rsid w:val="00664E30"/>
    <w:rsid w:val="006823F5"/>
    <w:rsid w:val="00685BF1"/>
    <w:rsid w:val="006A0457"/>
    <w:rsid w:val="006A2346"/>
    <w:rsid w:val="006A4E58"/>
    <w:rsid w:val="006A5B13"/>
    <w:rsid w:val="006B13B2"/>
    <w:rsid w:val="006D2CC2"/>
    <w:rsid w:val="006D2EF6"/>
    <w:rsid w:val="006D358E"/>
    <w:rsid w:val="006D3D98"/>
    <w:rsid w:val="006D5036"/>
    <w:rsid w:val="006F1687"/>
    <w:rsid w:val="006F5B66"/>
    <w:rsid w:val="006F6644"/>
    <w:rsid w:val="0070084B"/>
    <w:rsid w:val="00702508"/>
    <w:rsid w:val="00705E00"/>
    <w:rsid w:val="00706396"/>
    <w:rsid w:val="00706D80"/>
    <w:rsid w:val="00715768"/>
    <w:rsid w:val="00726891"/>
    <w:rsid w:val="007348DE"/>
    <w:rsid w:val="00742022"/>
    <w:rsid w:val="00743926"/>
    <w:rsid w:val="00744462"/>
    <w:rsid w:val="00746564"/>
    <w:rsid w:val="007505F4"/>
    <w:rsid w:val="00751CE5"/>
    <w:rsid w:val="007703B3"/>
    <w:rsid w:val="007713EE"/>
    <w:rsid w:val="0078115A"/>
    <w:rsid w:val="00797257"/>
    <w:rsid w:val="007B3F4D"/>
    <w:rsid w:val="007C1791"/>
    <w:rsid w:val="007C6FBF"/>
    <w:rsid w:val="007E064A"/>
    <w:rsid w:val="007E729C"/>
    <w:rsid w:val="007F0532"/>
    <w:rsid w:val="007F3AB2"/>
    <w:rsid w:val="007F6420"/>
    <w:rsid w:val="0081007C"/>
    <w:rsid w:val="00817599"/>
    <w:rsid w:val="00821703"/>
    <w:rsid w:val="00822D98"/>
    <w:rsid w:val="008329F5"/>
    <w:rsid w:val="008416FF"/>
    <w:rsid w:val="00856410"/>
    <w:rsid w:val="00856AEC"/>
    <w:rsid w:val="00862289"/>
    <w:rsid w:val="00864FD8"/>
    <w:rsid w:val="00871767"/>
    <w:rsid w:val="0087263E"/>
    <w:rsid w:val="00872974"/>
    <w:rsid w:val="00874373"/>
    <w:rsid w:val="00884DF7"/>
    <w:rsid w:val="008903DC"/>
    <w:rsid w:val="00896EEC"/>
    <w:rsid w:val="00897C37"/>
    <w:rsid w:val="00897EE8"/>
    <w:rsid w:val="008A5417"/>
    <w:rsid w:val="008B2445"/>
    <w:rsid w:val="008B7CA4"/>
    <w:rsid w:val="008C0553"/>
    <w:rsid w:val="008D7DA5"/>
    <w:rsid w:val="008E0356"/>
    <w:rsid w:val="008F2E71"/>
    <w:rsid w:val="008F3531"/>
    <w:rsid w:val="008F4818"/>
    <w:rsid w:val="008F69F9"/>
    <w:rsid w:val="00900476"/>
    <w:rsid w:val="0090440B"/>
    <w:rsid w:val="00911985"/>
    <w:rsid w:val="00914058"/>
    <w:rsid w:val="00914146"/>
    <w:rsid w:val="009217EF"/>
    <w:rsid w:val="0092356A"/>
    <w:rsid w:val="009331BE"/>
    <w:rsid w:val="0093346F"/>
    <w:rsid w:val="009361E4"/>
    <w:rsid w:val="0094389D"/>
    <w:rsid w:val="0094581F"/>
    <w:rsid w:val="00945878"/>
    <w:rsid w:val="00990312"/>
    <w:rsid w:val="009953F3"/>
    <w:rsid w:val="009A2227"/>
    <w:rsid w:val="009A3B27"/>
    <w:rsid w:val="009B2C87"/>
    <w:rsid w:val="009B417E"/>
    <w:rsid w:val="009B5890"/>
    <w:rsid w:val="009B6681"/>
    <w:rsid w:val="009C0401"/>
    <w:rsid w:val="009C229A"/>
    <w:rsid w:val="009D4164"/>
    <w:rsid w:val="009D6D5D"/>
    <w:rsid w:val="009E0FE6"/>
    <w:rsid w:val="009E2921"/>
    <w:rsid w:val="009E4BF9"/>
    <w:rsid w:val="009E7C22"/>
    <w:rsid w:val="00A00A91"/>
    <w:rsid w:val="00A058FF"/>
    <w:rsid w:val="00A1059C"/>
    <w:rsid w:val="00A1411A"/>
    <w:rsid w:val="00A2074E"/>
    <w:rsid w:val="00A26106"/>
    <w:rsid w:val="00A2740C"/>
    <w:rsid w:val="00A3040F"/>
    <w:rsid w:val="00A54ECC"/>
    <w:rsid w:val="00A66BA6"/>
    <w:rsid w:val="00A67810"/>
    <w:rsid w:val="00A76BF6"/>
    <w:rsid w:val="00A81744"/>
    <w:rsid w:val="00A9293E"/>
    <w:rsid w:val="00A96AB4"/>
    <w:rsid w:val="00AA50DC"/>
    <w:rsid w:val="00AA66BF"/>
    <w:rsid w:val="00AB4A84"/>
    <w:rsid w:val="00AB4A9B"/>
    <w:rsid w:val="00AC5700"/>
    <w:rsid w:val="00AC6B6A"/>
    <w:rsid w:val="00AD0CB3"/>
    <w:rsid w:val="00AD0E3F"/>
    <w:rsid w:val="00AE2BF9"/>
    <w:rsid w:val="00AE467F"/>
    <w:rsid w:val="00AF2F48"/>
    <w:rsid w:val="00AF7738"/>
    <w:rsid w:val="00B0118F"/>
    <w:rsid w:val="00B01652"/>
    <w:rsid w:val="00B02F8D"/>
    <w:rsid w:val="00B10A92"/>
    <w:rsid w:val="00B14F3E"/>
    <w:rsid w:val="00B2210C"/>
    <w:rsid w:val="00B22BC3"/>
    <w:rsid w:val="00B2577D"/>
    <w:rsid w:val="00B37B02"/>
    <w:rsid w:val="00B478C1"/>
    <w:rsid w:val="00B56598"/>
    <w:rsid w:val="00B5698E"/>
    <w:rsid w:val="00B61CE8"/>
    <w:rsid w:val="00B62CDE"/>
    <w:rsid w:val="00B73FBD"/>
    <w:rsid w:val="00B81AAF"/>
    <w:rsid w:val="00B85847"/>
    <w:rsid w:val="00B921DD"/>
    <w:rsid w:val="00B93C7E"/>
    <w:rsid w:val="00B94CEB"/>
    <w:rsid w:val="00B96AFA"/>
    <w:rsid w:val="00BA52A1"/>
    <w:rsid w:val="00BB2574"/>
    <w:rsid w:val="00BB6F11"/>
    <w:rsid w:val="00BC0148"/>
    <w:rsid w:val="00BC6C71"/>
    <w:rsid w:val="00BE32D0"/>
    <w:rsid w:val="00BF0D7D"/>
    <w:rsid w:val="00C00A05"/>
    <w:rsid w:val="00C021EA"/>
    <w:rsid w:val="00C04528"/>
    <w:rsid w:val="00C11686"/>
    <w:rsid w:val="00C12096"/>
    <w:rsid w:val="00C12156"/>
    <w:rsid w:val="00C13B04"/>
    <w:rsid w:val="00C207FC"/>
    <w:rsid w:val="00C20B3D"/>
    <w:rsid w:val="00C2465A"/>
    <w:rsid w:val="00C369D4"/>
    <w:rsid w:val="00C46EB7"/>
    <w:rsid w:val="00C50A9D"/>
    <w:rsid w:val="00C6288C"/>
    <w:rsid w:val="00C629D0"/>
    <w:rsid w:val="00C63340"/>
    <w:rsid w:val="00C70D6D"/>
    <w:rsid w:val="00C7500D"/>
    <w:rsid w:val="00C76937"/>
    <w:rsid w:val="00C81FE6"/>
    <w:rsid w:val="00C8329F"/>
    <w:rsid w:val="00C90F86"/>
    <w:rsid w:val="00C93D5F"/>
    <w:rsid w:val="00CA0A2D"/>
    <w:rsid w:val="00CA208D"/>
    <w:rsid w:val="00CA30AC"/>
    <w:rsid w:val="00CA5A5A"/>
    <w:rsid w:val="00CB08A9"/>
    <w:rsid w:val="00CB4CD0"/>
    <w:rsid w:val="00CC13B4"/>
    <w:rsid w:val="00CD1FC7"/>
    <w:rsid w:val="00CD4C5F"/>
    <w:rsid w:val="00CD5479"/>
    <w:rsid w:val="00CD7313"/>
    <w:rsid w:val="00CE253F"/>
    <w:rsid w:val="00CE58CE"/>
    <w:rsid w:val="00D155F6"/>
    <w:rsid w:val="00D15E69"/>
    <w:rsid w:val="00D2086F"/>
    <w:rsid w:val="00D248CF"/>
    <w:rsid w:val="00D33829"/>
    <w:rsid w:val="00D3681B"/>
    <w:rsid w:val="00D4704C"/>
    <w:rsid w:val="00D51946"/>
    <w:rsid w:val="00D63204"/>
    <w:rsid w:val="00D6716E"/>
    <w:rsid w:val="00D677AF"/>
    <w:rsid w:val="00D7226D"/>
    <w:rsid w:val="00D7706D"/>
    <w:rsid w:val="00D773DF"/>
    <w:rsid w:val="00D826E9"/>
    <w:rsid w:val="00D86B35"/>
    <w:rsid w:val="00D870EC"/>
    <w:rsid w:val="00D94D13"/>
    <w:rsid w:val="00D9682D"/>
    <w:rsid w:val="00D9770D"/>
    <w:rsid w:val="00DB7B2E"/>
    <w:rsid w:val="00DC1292"/>
    <w:rsid w:val="00DC2EFE"/>
    <w:rsid w:val="00DC4907"/>
    <w:rsid w:val="00DF419A"/>
    <w:rsid w:val="00DF6C96"/>
    <w:rsid w:val="00E17264"/>
    <w:rsid w:val="00E27615"/>
    <w:rsid w:val="00E41AF4"/>
    <w:rsid w:val="00E50D15"/>
    <w:rsid w:val="00E53D42"/>
    <w:rsid w:val="00E55150"/>
    <w:rsid w:val="00E64549"/>
    <w:rsid w:val="00E649F0"/>
    <w:rsid w:val="00E67DE3"/>
    <w:rsid w:val="00E732E2"/>
    <w:rsid w:val="00E779F0"/>
    <w:rsid w:val="00E80E5E"/>
    <w:rsid w:val="00E82D7A"/>
    <w:rsid w:val="00E84F52"/>
    <w:rsid w:val="00E924F4"/>
    <w:rsid w:val="00E93397"/>
    <w:rsid w:val="00E93FAB"/>
    <w:rsid w:val="00E97B79"/>
    <w:rsid w:val="00EA066F"/>
    <w:rsid w:val="00EB396C"/>
    <w:rsid w:val="00EC7DB0"/>
    <w:rsid w:val="00ED69E4"/>
    <w:rsid w:val="00EF0976"/>
    <w:rsid w:val="00EF32C2"/>
    <w:rsid w:val="00EF716F"/>
    <w:rsid w:val="00F04C6C"/>
    <w:rsid w:val="00F050FC"/>
    <w:rsid w:val="00F05EF3"/>
    <w:rsid w:val="00F13AEF"/>
    <w:rsid w:val="00F15BC8"/>
    <w:rsid w:val="00F2006B"/>
    <w:rsid w:val="00F236B5"/>
    <w:rsid w:val="00F24D98"/>
    <w:rsid w:val="00F3273C"/>
    <w:rsid w:val="00F332C0"/>
    <w:rsid w:val="00F34521"/>
    <w:rsid w:val="00F43310"/>
    <w:rsid w:val="00F443B9"/>
    <w:rsid w:val="00F700D5"/>
    <w:rsid w:val="00F70DDC"/>
    <w:rsid w:val="00F747F5"/>
    <w:rsid w:val="00F75EE0"/>
    <w:rsid w:val="00F82305"/>
    <w:rsid w:val="00F935D7"/>
    <w:rsid w:val="00FA37B4"/>
    <w:rsid w:val="00FA43B8"/>
    <w:rsid w:val="00FA7912"/>
    <w:rsid w:val="00FC11E2"/>
    <w:rsid w:val="00FC42FD"/>
    <w:rsid w:val="00FC521B"/>
    <w:rsid w:val="00FD34F7"/>
    <w:rsid w:val="00FD360F"/>
    <w:rsid w:val="00FD5C7C"/>
    <w:rsid w:val="00FE4498"/>
    <w:rsid w:val="00FF013C"/>
    <w:rsid w:val="00FF1389"/>
    <w:rsid w:val="00FF2F79"/>
    <w:rsid w:val="00FF59F5"/>
    <w:rsid w:val="00FF72A2"/>
    <w:rsid w:val="00FF7804"/>
    <w:rsid w:val="021E4F6A"/>
    <w:rsid w:val="02415E7A"/>
    <w:rsid w:val="04D4706C"/>
    <w:rsid w:val="05522C27"/>
    <w:rsid w:val="06CF5118"/>
    <w:rsid w:val="079005E0"/>
    <w:rsid w:val="0805709C"/>
    <w:rsid w:val="082F6059"/>
    <w:rsid w:val="09886011"/>
    <w:rsid w:val="09FB246E"/>
    <w:rsid w:val="0B3576D2"/>
    <w:rsid w:val="0E2B34EC"/>
    <w:rsid w:val="0FA10FAB"/>
    <w:rsid w:val="10C64A6C"/>
    <w:rsid w:val="113D40AD"/>
    <w:rsid w:val="114800BD"/>
    <w:rsid w:val="14000340"/>
    <w:rsid w:val="15152316"/>
    <w:rsid w:val="16692931"/>
    <w:rsid w:val="166D2751"/>
    <w:rsid w:val="16F13699"/>
    <w:rsid w:val="172708AC"/>
    <w:rsid w:val="174F2BC6"/>
    <w:rsid w:val="17C93181"/>
    <w:rsid w:val="1889077F"/>
    <w:rsid w:val="19E0129C"/>
    <w:rsid w:val="1A6C6274"/>
    <w:rsid w:val="1AAF40CF"/>
    <w:rsid w:val="1BC6640B"/>
    <w:rsid w:val="1C6A2197"/>
    <w:rsid w:val="1C6A6F19"/>
    <w:rsid w:val="1D000DF7"/>
    <w:rsid w:val="1D0F7EAB"/>
    <w:rsid w:val="1F34111B"/>
    <w:rsid w:val="1F466738"/>
    <w:rsid w:val="1F94547E"/>
    <w:rsid w:val="20086560"/>
    <w:rsid w:val="21510ABF"/>
    <w:rsid w:val="218A7EC1"/>
    <w:rsid w:val="21B05764"/>
    <w:rsid w:val="23DC0B69"/>
    <w:rsid w:val="23FA3EED"/>
    <w:rsid w:val="240429E7"/>
    <w:rsid w:val="2418601D"/>
    <w:rsid w:val="25151DAA"/>
    <w:rsid w:val="26483C63"/>
    <w:rsid w:val="265663B2"/>
    <w:rsid w:val="26BF3B6A"/>
    <w:rsid w:val="26FE40BC"/>
    <w:rsid w:val="27DF6273"/>
    <w:rsid w:val="282F112B"/>
    <w:rsid w:val="2A3A1F32"/>
    <w:rsid w:val="2A5511A3"/>
    <w:rsid w:val="2BEC0D2A"/>
    <w:rsid w:val="2C773137"/>
    <w:rsid w:val="2D255F80"/>
    <w:rsid w:val="2E710790"/>
    <w:rsid w:val="2EFD6241"/>
    <w:rsid w:val="30FD424A"/>
    <w:rsid w:val="315964CA"/>
    <w:rsid w:val="32004182"/>
    <w:rsid w:val="32AE3F1B"/>
    <w:rsid w:val="32DE4F91"/>
    <w:rsid w:val="34D53903"/>
    <w:rsid w:val="364E1B4D"/>
    <w:rsid w:val="367E20B5"/>
    <w:rsid w:val="39066592"/>
    <w:rsid w:val="3A7A2844"/>
    <w:rsid w:val="3A985A05"/>
    <w:rsid w:val="3B7F2A98"/>
    <w:rsid w:val="3E5A4B4E"/>
    <w:rsid w:val="3F097315"/>
    <w:rsid w:val="3F3223B2"/>
    <w:rsid w:val="3FAB6E1E"/>
    <w:rsid w:val="40CB2A5B"/>
    <w:rsid w:val="42295D0F"/>
    <w:rsid w:val="42662108"/>
    <w:rsid w:val="42B610EB"/>
    <w:rsid w:val="433346BA"/>
    <w:rsid w:val="46604C28"/>
    <w:rsid w:val="48922263"/>
    <w:rsid w:val="48DC1557"/>
    <w:rsid w:val="49507578"/>
    <w:rsid w:val="4AC34AF7"/>
    <w:rsid w:val="4B203EBB"/>
    <w:rsid w:val="4B6E2620"/>
    <w:rsid w:val="4BA60047"/>
    <w:rsid w:val="4BFE71AE"/>
    <w:rsid w:val="4C613F5A"/>
    <w:rsid w:val="4C682402"/>
    <w:rsid w:val="502C2E8B"/>
    <w:rsid w:val="50C3627D"/>
    <w:rsid w:val="518D0F3D"/>
    <w:rsid w:val="51F47282"/>
    <w:rsid w:val="524348BD"/>
    <w:rsid w:val="56A80324"/>
    <w:rsid w:val="56AA23F7"/>
    <w:rsid w:val="576E3811"/>
    <w:rsid w:val="57915BE3"/>
    <w:rsid w:val="57BB6BEB"/>
    <w:rsid w:val="58785930"/>
    <w:rsid w:val="5BE503D1"/>
    <w:rsid w:val="5CD21768"/>
    <w:rsid w:val="5CF37627"/>
    <w:rsid w:val="5EC12D5C"/>
    <w:rsid w:val="610468A5"/>
    <w:rsid w:val="618374B7"/>
    <w:rsid w:val="62AF71E2"/>
    <w:rsid w:val="62C07DD7"/>
    <w:rsid w:val="62DB2313"/>
    <w:rsid w:val="630B15F9"/>
    <w:rsid w:val="64EB6FF6"/>
    <w:rsid w:val="659B08B4"/>
    <w:rsid w:val="66F60055"/>
    <w:rsid w:val="68A85CF0"/>
    <w:rsid w:val="6B8F6863"/>
    <w:rsid w:val="6CDA2376"/>
    <w:rsid w:val="6DC93884"/>
    <w:rsid w:val="6DDF083D"/>
    <w:rsid w:val="6E345D48"/>
    <w:rsid w:val="6EB517CB"/>
    <w:rsid w:val="6FE05AC1"/>
    <w:rsid w:val="6FF66C68"/>
    <w:rsid w:val="717A7953"/>
    <w:rsid w:val="729030EF"/>
    <w:rsid w:val="73484088"/>
    <w:rsid w:val="75AE6A74"/>
    <w:rsid w:val="75E06CDE"/>
    <w:rsid w:val="77106C29"/>
    <w:rsid w:val="77206868"/>
    <w:rsid w:val="77894F7F"/>
    <w:rsid w:val="77C67062"/>
    <w:rsid w:val="792E2A16"/>
    <w:rsid w:val="7BFD225F"/>
    <w:rsid w:val="7C4D3E42"/>
    <w:rsid w:val="7CE04A6D"/>
    <w:rsid w:val="7D271763"/>
    <w:rsid w:val="7DE522BB"/>
    <w:rsid w:val="7F1C2FE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5"/>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5"/>
    <w:qFormat/>
    <w:uiPriority w:val="0"/>
    <w:pPr>
      <w:keepNext/>
      <w:keepLines/>
      <w:spacing w:before="260" w:after="260" w:line="413" w:lineRule="auto"/>
      <w:outlineLvl w:val="1"/>
    </w:pPr>
    <w:rPr>
      <w:rFonts w:ascii="Arial" w:hAnsi="Arial" w:eastAsia="黑体"/>
      <w:b/>
      <w:bCs/>
      <w:sz w:val="32"/>
      <w:szCs w:val="32"/>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宋体" w:hAnsi="Comic Sans MS"/>
      <w:b/>
      <w:sz w:val="44"/>
    </w:rPr>
  </w:style>
  <w:style w:type="paragraph" w:styleId="5">
    <w:name w:val="Normal Indent"/>
    <w:basedOn w:val="1"/>
    <w:qFormat/>
    <w:uiPriority w:val="0"/>
    <w:pPr>
      <w:ind w:firstLine="420"/>
    </w:pPr>
  </w:style>
  <w:style w:type="paragraph" w:styleId="6">
    <w:name w:val="annotation text"/>
    <w:basedOn w:val="1"/>
    <w:qFormat/>
    <w:uiPriority w:val="0"/>
    <w:pPr>
      <w:jc w:val="left"/>
    </w:pPr>
  </w:style>
  <w:style w:type="paragraph" w:styleId="7">
    <w:name w:val="Body Text Indent"/>
    <w:basedOn w:val="1"/>
    <w:next w:val="8"/>
    <w:qFormat/>
    <w:uiPriority w:val="0"/>
    <w:pPr>
      <w:widowControl/>
      <w:tabs>
        <w:tab w:val="left" w:pos="0"/>
        <w:tab w:val="left" w:pos="993"/>
        <w:tab w:val="left" w:pos="1134"/>
      </w:tabs>
      <w:spacing w:line="500" w:lineRule="exact"/>
      <w:ind w:firstLine="567"/>
    </w:pPr>
    <w:rPr>
      <w:rFonts w:ascii="宋体"/>
      <w:kern w:val="0"/>
      <w:sz w:val="28"/>
      <w:szCs w:val="20"/>
    </w:rPr>
  </w:style>
  <w:style w:type="paragraph" w:styleId="8">
    <w:name w:val="envelope return"/>
    <w:basedOn w:val="1"/>
    <w:qFormat/>
    <w:uiPriority w:val="0"/>
    <w:pPr>
      <w:snapToGrid w:val="0"/>
    </w:pPr>
    <w:rPr>
      <w:rFonts w:ascii="Arial" w:hAnsi="Arial"/>
    </w:rPr>
  </w:style>
  <w:style w:type="paragraph" w:styleId="9">
    <w:name w:val="Block Text"/>
    <w:basedOn w:val="1"/>
    <w:qFormat/>
    <w:uiPriority w:val="0"/>
    <w:pPr>
      <w:spacing w:line="440" w:lineRule="exact"/>
      <w:ind w:leftChars="-201" w:rightChars="-295" w:firstLine="2"/>
    </w:pPr>
    <w:rPr>
      <w:sz w:val="28"/>
    </w:rPr>
  </w:style>
  <w:style w:type="paragraph" w:styleId="10">
    <w:name w:val="Plain Text"/>
    <w:basedOn w:val="1"/>
    <w:qFormat/>
    <w:uiPriority w:val="0"/>
    <w:pPr>
      <w:suppressAutoHyphens w:val="0"/>
    </w:pPr>
    <w:rPr>
      <w:rFonts w:ascii="宋体" w:hAnsi="Courier New" w:cs="Courier New"/>
      <w:kern w:val="2"/>
      <w:szCs w:val="21"/>
      <w:lang w:eastAsia="zh-CN"/>
    </w:rPr>
  </w:style>
  <w:style w:type="paragraph" w:styleId="11">
    <w:name w:val="Balloon Text"/>
    <w:basedOn w:val="1"/>
    <w:semiHidden/>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15">
    <w:name w:val="Title"/>
    <w:basedOn w:val="1"/>
    <w:qFormat/>
    <w:uiPriority w:val="0"/>
    <w:pPr>
      <w:jc w:val="center"/>
    </w:pPr>
    <w:rPr>
      <w:sz w:val="30"/>
      <w:szCs w:val="24"/>
    </w:rPr>
  </w:style>
  <w:style w:type="paragraph" w:styleId="16">
    <w:name w:val="Body Text First Indent 2"/>
    <w:basedOn w:val="7"/>
    <w:unhideWhenUsed/>
    <w:qFormat/>
    <w:uiPriority w:val="0"/>
    <w:pPr>
      <w:widowControl w:val="0"/>
      <w:spacing w:line="240" w:lineRule="auto"/>
      <w:ind w:firstLine="420" w:firstLineChars="200"/>
    </w:pPr>
    <w:rPr>
      <w:kern w:val="2"/>
      <w:sz w:val="21"/>
      <w:szCs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bCs/>
    </w:rPr>
  </w:style>
  <w:style w:type="character" w:styleId="21">
    <w:name w:val="page number"/>
    <w:basedOn w:val="19"/>
    <w:qFormat/>
    <w:uiPriority w:val="0"/>
  </w:style>
  <w:style w:type="character" w:styleId="22">
    <w:name w:val="FollowedHyperlink"/>
    <w:basedOn w:val="19"/>
    <w:qFormat/>
    <w:uiPriority w:val="0"/>
    <w:rPr>
      <w:color w:val="000000"/>
      <w:u w:val="none"/>
    </w:rPr>
  </w:style>
  <w:style w:type="character" w:styleId="23">
    <w:name w:val="HTML Definition"/>
    <w:basedOn w:val="19"/>
    <w:qFormat/>
    <w:uiPriority w:val="0"/>
    <w:rPr>
      <w:i/>
      <w:iCs/>
    </w:rPr>
  </w:style>
  <w:style w:type="character" w:styleId="24">
    <w:name w:val="HTML Acronym"/>
    <w:basedOn w:val="19"/>
    <w:qFormat/>
    <w:uiPriority w:val="0"/>
  </w:style>
  <w:style w:type="character" w:styleId="25">
    <w:name w:val="Hyperlink"/>
    <w:basedOn w:val="19"/>
    <w:qFormat/>
    <w:uiPriority w:val="0"/>
    <w:rPr>
      <w:color w:val="000000"/>
      <w:u w:val="none"/>
    </w:rPr>
  </w:style>
  <w:style w:type="character" w:styleId="26">
    <w:name w:val="HTML Code"/>
    <w:basedOn w:val="19"/>
    <w:qFormat/>
    <w:uiPriority w:val="0"/>
    <w:rPr>
      <w:rFonts w:ascii="Consolas" w:hAnsi="Consolas" w:eastAsia="Consolas" w:cs="Consolas"/>
      <w:color w:val="C7254E"/>
      <w:sz w:val="21"/>
      <w:szCs w:val="21"/>
      <w:shd w:val="clear" w:fill="F9F2F4"/>
    </w:rPr>
  </w:style>
  <w:style w:type="character" w:styleId="27">
    <w:name w:val="HTML Keyboard"/>
    <w:basedOn w:val="19"/>
    <w:qFormat/>
    <w:uiPriority w:val="0"/>
    <w:rPr>
      <w:rFonts w:hint="default" w:ascii="Consolas" w:hAnsi="Consolas" w:eastAsia="Consolas" w:cs="Consolas"/>
      <w:color w:val="FFFFFF"/>
      <w:sz w:val="21"/>
      <w:szCs w:val="21"/>
      <w:shd w:val="clear" w:fill="333333"/>
    </w:rPr>
  </w:style>
  <w:style w:type="character" w:styleId="28">
    <w:name w:val="HTML Sample"/>
    <w:basedOn w:val="19"/>
    <w:qFormat/>
    <w:uiPriority w:val="0"/>
    <w:rPr>
      <w:rFonts w:hint="default" w:ascii="Consolas" w:hAnsi="Consolas" w:eastAsia="Consolas" w:cs="Consolas"/>
      <w:sz w:val="21"/>
      <w:szCs w:val="21"/>
    </w:rPr>
  </w:style>
  <w:style w:type="paragraph" w:customStyle="1" w:styleId="29">
    <w:name w:val="Table Paragraph"/>
    <w:basedOn w:val="1"/>
    <w:qFormat/>
    <w:uiPriority w:val="1"/>
    <w:rPr>
      <w:rFonts w:ascii="宋体" w:hAnsi="宋体" w:eastAsia="宋体" w:cs="宋体"/>
      <w:lang w:val="zh-CN" w:eastAsia="zh-CN" w:bidi="zh-CN"/>
    </w:rPr>
  </w:style>
  <w:style w:type="paragraph" w:customStyle="1" w:styleId="30">
    <w:name w:val="D&amp;L"/>
    <w:basedOn w:val="13"/>
    <w:qFormat/>
    <w:uiPriority w:val="0"/>
    <w:pPr>
      <w:pBdr>
        <w:bottom w:val="thinThickSmallGap" w:color="auto" w:sz="18" w:space="1"/>
      </w:pBdr>
      <w:adjustRightInd w:val="0"/>
      <w:snapToGrid/>
      <w:spacing w:line="240" w:lineRule="atLeast"/>
      <w:textAlignment w:val="baseline"/>
    </w:pPr>
    <w:rPr>
      <w:rFonts w:ascii="仿宋_GB2312" w:eastAsia="仿宋_GB2312"/>
      <w:kern w:val="0"/>
      <w:sz w:val="24"/>
      <w:szCs w:val="32"/>
    </w:rPr>
  </w:style>
  <w:style w:type="paragraph" w:customStyle="1" w:styleId="31">
    <w:name w:val="Char Char Char Char Char Char Char1 Char"/>
    <w:basedOn w:val="1"/>
    <w:qFormat/>
    <w:uiPriority w:val="0"/>
    <w:rPr>
      <w:rFonts w:ascii="Tahoma" w:hAnsi="Tahoma" w:eastAsia="仿宋_GB2312"/>
      <w:sz w:val="24"/>
      <w:szCs w:val="32"/>
    </w:rPr>
  </w:style>
  <w:style w:type="paragraph" w:customStyle="1" w:styleId="32">
    <w:name w:val="xl31"/>
    <w:basedOn w:val="1"/>
    <w:qFormat/>
    <w:uiPriority w:val="0"/>
    <w:pPr>
      <w:widowControl/>
      <w:spacing w:before="100" w:beforeAutospacing="1" w:after="100" w:afterAutospacing="1"/>
      <w:jc w:val="center"/>
    </w:pPr>
    <w:rPr>
      <w:rFonts w:ascii="宋体" w:hAnsi="宋体" w:eastAsia="仿宋_GB2312"/>
      <w:b/>
      <w:bCs/>
      <w:kern w:val="0"/>
      <w:sz w:val="28"/>
      <w:szCs w:val="28"/>
    </w:rPr>
  </w:style>
  <w:style w:type="character" w:customStyle="1" w:styleId="33">
    <w:name w:val="p141"/>
    <w:qFormat/>
    <w:uiPriority w:val="99"/>
    <w:rPr>
      <w:rFonts w:cs="Times New Roman"/>
      <w:sz w:val="21"/>
      <w:szCs w:val="21"/>
    </w:rPr>
  </w:style>
  <w:style w:type="character" w:customStyle="1" w:styleId="34">
    <w:name w:val="NormalCharacter"/>
    <w:qFormat/>
    <w:uiPriority w:val="0"/>
  </w:style>
  <w:style w:type="character" w:customStyle="1" w:styleId="35">
    <w:name w:val=" Char Char7"/>
    <w:basedOn w:val="19"/>
    <w:link w:val="3"/>
    <w:qFormat/>
    <w:uiPriority w:val="0"/>
    <w:rPr>
      <w:b/>
      <w:kern w:val="44"/>
      <w:sz w:val="44"/>
    </w:rPr>
  </w:style>
  <w:style w:type="paragraph" w:customStyle="1" w:styleId="36">
    <w:name w:val="Char"/>
    <w:basedOn w:val="1"/>
    <w:qFormat/>
    <w:uiPriority w:val="0"/>
    <w:rPr>
      <w:rFonts w:hint="default"/>
      <w:szCs w:val="24"/>
    </w:rPr>
  </w:style>
  <w:style w:type="paragraph" w:customStyle="1" w:styleId="37">
    <w:name w:val="正文文本 New"/>
    <w:basedOn w:val="1"/>
    <w:qFormat/>
    <w:uiPriority w:val="0"/>
    <w:pPr>
      <w:spacing w:after="120" w:afterLines="0"/>
    </w:pPr>
  </w:style>
  <w:style w:type="character" w:customStyle="1" w:styleId="38">
    <w:name w:val="wx-space"/>
    <w:basedOn w:val="19"/>
    <w:qFormat/>
    <w:uiPriority w:val="0"/>
  </w:style>
  <w:style w:type="character" w:customStyle="1" w:styleId="39">
    <w:name w:val="txt-color"/>
    <w:basedOn w:val="19"/>
    <w:qFormat/>
    <w:uiPriority w:val="0"/>
    <w:rPr>
      <w:color w:val="C0C0C0"/>
      <w:sz w:val="18"/>
      <w:szCs w:val="18"/>
    </w:rPr>
  </w:style>
  <w:style w:type="character" w:customStyle="1" w:styleId="40">
    <w:name w:val="direct"/>
    <w:basedOn w:val="19"/>
    <w:qFormat/>
    <w:uiPriority w:val="0"/>
  </w:style>
  <w:style w:type="character" w:customStyle="1" w:styleId="41">
    <w:name w:val="first-child"/>
    <w:basedOn w:val="19"/>
    <w:qFormat/>
    <w:uiPriority w:val="0"/>
  </w:style>
  <w:style w:type="character" w:customStyle="1" w:styleId="42">
    <w:name w:val="layui-this"/>
    <w:basedOn w:val="19"/>
    <w:qFormat/>
    <w:uiPriority w:val="0"/>
    <w:rPr>
      <w:bdr w:val="single" w:color="EEEEEE" w:sz="6" w:space="0"/>
      <w:shd w:val="clear" w:fill="FFFFFF"/>
    </w:rPr>
  </w:style>
  <w:style w:type="character" w:customStyle="1" w:styleId="43">
    <w:name w:val="hover11"/>
    <w:basedOn w:val="19"/>
    <w:qFormat/>
    <w:uiPriority w:val="0"/>
    <w:rPr>
      <w:color w:val="000000"/>
      <w:shd w:val="clear" w:fill="FFFFFF"/>
    </w:rPr>
  </w:style>
  <w:style w:type="character" w:customStyle="1" w:styleId="44">
    <w:name w:val="wx-space1"/>
    <w:basedOn w:val="19"/>
    <w:qFormat/>
    <w:uiPriority w:val="0"/>
  </w:style>
  <w:style w:type="character" w:customStyle="1" w:styleId="45">
    <w:name w:val="hover10"/>
    <w:basedOn w:val="19"/>
    <w:qFormat/>
    <w:uiPriority w:val="0"/>
    <w:rPr>
      <w:color w:val="000000"/>
      <w:shd w:val="clear" w:fill="FFFFFF"/>
    </w:rPr>
  </w:style>
  <w:style w:type="paragraph" w:customStyle="1" w:styleId="46">
    <w:name w:val="WPSOffice手动目录 1"/>
    <w:qFormat/>
    <w:uiPriority w:val="0"/>
    <w:pPr>
      <w:ind w:leftChars="0"/>
    </w:pPr>
    <w:rPr>
      <w:rFonts w:ascii="Times New Roman" w:hAnsi="Times New Roman" w:eastAsia="宋体" w:cs="Times New Roman"/>
      <w:sz w:val="20"/>
      <w:szCs w:val="20"/>
    </w:rPr>
  </w:style>
  <w:style w:type="paragraph" w:customStyle="1" w:styleId="47">
    <w:name w:val="WPSOffice手动目录 2"/>
    <w:qFormat/>
    <w:uiPriority w:val="0"/>
    <w:pPr>
      <w:ind w:leftChars="200"/>
    </w:pPr>
    <w:rPr>
      <w:rFonts w:ascii="Times New Roman" w:hAnsi="Times New Roman" w:eastAsia="宋体" w:cs="Times New Roman"/>
      <w:sz w:val="20"/>
      <w:szCs w:val="20"/>
    </w:rPr>
  </w:style>
  <w:style w:type="paragraph" w:customStyle="1" w:styleId="48">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szCs w:val="22"/>
      <w:lang w:val="en-US" w:eastAsia="zh-CN" w:bidi="ar-SA"/>
    </w:rPr>
  </w:style>
  <w:style w:type="paragraph" w:customStyle="1" w:styleId="49">
    <w:name w:val="p0"/>
    <w:basedOn w:val="1"/>
    <w:qFormat/>
    <w:uiPriority w:val="0"/>
    <w:pPr>
      <w:widowControl/>
    </w:pPr>
    <w:rPr>
      <w:rFonts w:ascii="Arial" w:hAnsi="Arial" w:eastAsia="Arial" w:cs="Arial"/>
      <w:kern w:val="0"/>
      <w:szCs w:val="21"/>
    </w:rPr>
  </w:style>
  <w:style w:type="paragraph" w:customStyle="1" w:styleId="50">
    <w:name w:val="样式 标题 2 + Times New Roman 四号 非加粗 段前: 5 磅 段后: 0 磅 行距: 固定值 20..."/>
    <w:basedOn w:val="4"/>
    <w:next w:val="1"/>
    <w:qFormat/>
    <w:uiPriority w:val="0"/>
    <w:pPr>
      <w:numPr>
        <w:ilvl w:val="1"/>
        <w:numId w:val="0"/>
      </w:numPr>
      <w:adjustRightInd/>
      <w:spacing w:before="100" w:beforeLines="0" w:after="0" w:afterLines="0" w:line="400" w:lineRule="exact"/>
      <w:textAlignment w:val="auto"/>
    </w:pPr>
    <w:rPr>
      <w:rFonts w:ascii="Times New Roman" w:hAnsi="Times New Roman" w:cs="宋体"/>
      <w:b w:val="0"/>
      <w:kern w:val="2"/>
      <w:sz w:val="2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2630</Words>
  <Characters>14994</Characters>
  <Lines>124</Lines>
  <Paragraphs>35</Paragraphs>
  <TotalTime>13</TotalTime>
  <ScaleCrop>false</ScaleCrop>
  <LinksUpToDate>false</LinksUpToDate>
  <CharactersWithSpaces>17589</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2017-05-31T00:36:00Z</dcterms:created>
  <dc:creator>AutoBVT</dc:creator>
  <cp:lastModifiedBy>海纳百川</cp:lastModifiedBy>
  <cp:lastPrinted>2021-04-27T07:07:00Z</cp:lastPrinted>
  <dcterms:modified xsi:type="dcterms:W3CDTF">2021-04-29T01:47:38Z</dcterms:modified>
  <dc:title>徽创江南郡一期物业管理项目                                                     阜阳首佳咨询</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BAF71D8E597D47D4B9474C06A058D70D</vt:lpwstr>
  </property>
</Properties>
</file>